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A6DCD" w14:textId="7CE4465B" w:rsidR="00C50BC3" w:rsidRPr="00C50BC3" w:rsidRDefault="008D4462" w:rsidP="00E230EB">
      <w:pPr>
        <w:spacing w:after="120"/>
        <w:jc w:val="center"/>
        <w:rPr>
          <w:rFonts w:ascii="Arial" w:hAnsi="Arial" w:cs="Arial"/>
          <w:b/>
          <w:sz w:val="24"/>
        </w:rPr>
      </w:pPr>
      <w:r>
        <w:rPr>
          <w:b/>
          <w:sz w:val="24"/>
        </w:rPr>
        <w:t>Formulaire destiné à la reconfirmation annuelle de la validation des programmes officiels de contrôle de la fièvre aphteuse des Membres de l’OIE</w:t>
      </w:r>
    </w:p>
    <w:p w14:paraId="35733162" w14:textId="77777777"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9">
        <w:r>
          <w:rPr>
            <w:rStyle w:val="Lienhypertexte"/>
            <w:b/>
          </w:rPr>
          <w:t>disease.status@oie.int</w:t>
        </w:r>
      </w:hyperlink>
    </w:p>
    <w:p w14:paraId="1F3A4343" w14:textId="77777777" w:rsidR="002D39CF" w:rsidRPr="001C7CB8" w:rsidRDefault="00C712C3" w:rsidP="00CC59DB">
      <w:pPr>
        <w:jc w:val="center"/>
        <w:rPr>
          <w:b/>
          <w:sz w:val="12"/>
          <w:szCs w:val="12"/>
        </w:rPr>
      </w:pPr>
      <w:proofErr w:type="gramStart"/>
      <w:r>
        <w:rPr>
          <w:b/>
          <w:color w:val="FF0000"/>
        </w:rPr>
        <w:t>au</w:t>
      </w:r>
      <w:proofErr w:type="gramEnd"/>
      <w:r>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39D91DE9"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l’OIE,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E230EB">
            <w:pPr>
              <w:numPr>
                <w:ilvl w:val="0"/>
                <w:numId w:val="2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77777777" w:rsidR="00444010" w:rsidRPr="007E35C3" w:rsidRDefault="00444010" w:rsidP="00E230EB">
            <w:pPr>
              <w:numPr>
                <w:ilvl w:val="0"/>
                <w:numId w:val="21"/>
              </w:numPr>
              <w:ind w:left="357" w:hanging="357"/>
              <w:rPr>
                <w:szCs w:val="20"/>
              </w:rPr>
            </w:pPr>
            <w:r>
              <w:t>Le programme officiel de contrôle de la fièvre aphteuse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E230EB">
            <w:pPr>
              <w:numPr>
                <w:ilvl w:val="0"/>
                <w:numId w:val="21"/>
              </w:numPr>
              <w:ind w:left="357" w:hanging="357"/>
              <w:rPr>
                <w:szCs w:val="20"/>
              </w:rPr>
            </w:pPr>
            <w:r>
              <w:t>La célérité et la régularité de la déclaration des maladies animales, conformément aux conditions requises au chapitre 1.1. ont-elles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77777777" w:rsidR="00444010" w:rsidRPr="007E35C3" w:rsidRDefault="00444010" w:rsidP="00E230EB">
            <w:pPr>
              <w:numPr>
                <w:ilvl w:val="0"/>
                <w:numId w:val="21"/>
              </w:numPr>
              <w:ind w:left="357" w:hanging="357"/>
              <w:rPr>
                <w:szCs w:val="20"/>
              </w:rPr>
            </w:pPr>
            <w:r>
              <w:t>Des modifications ont-elles été apportées aux mesures gouvernant la prévention et le contrôle de la fièvre aphteuse</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14:paraId="1FAC3870" w14:textId="77777777" w:rsidTr="0017100B">
        <w:trPr>
          <w:trHeight w:val="135"/>
        </w:trPr>
        <w:tc>
          <w:tcPr>
            <w:tcW w:w="7717" w:type="dxa"/>
            <w:vAlign w:val="center"/>
          </w:tcPr>
          <w:p w14:paraId="3D8A511A" w14:textId="77777777" w:rsidR="00444010" w:rsidRDefault="00444010" w:rsidP="00E230EB">
            <w:pPr>
              <w:numPr>
                <w:ilvl w:val="0"/>
                <w:numId w:val="21"/>
              </w:numPr>
              <w:ind w:left="357" w:hanging="357"/>
            </w:pPr>
            <w:r>
              <w:t>Des modifications ont-elles été apportées aux principaux systèmes de production du bétail, et aux schémas de mouvement des animaux sensibles à la fièvre aphteuse et de circulation</w:t>
            </w:r>
            <w:r w:rsidR="00A91B10">
              <w:t>,</w:t>
            </w:r>
            <w:r>
              <w:t xml:space="preserve"> des produits qui en sont issus à l'intérieur et en direction du pays</w:t>
            </w:r>
            <w:r w:rsidR="00D97EED">
              <w:t> ?</w:t>
            </w:r>
          </w:p>
        </w:tc>
        <w:tc>
          <w:tcPr>
            <w:tcW w:w="992" w:type="dxa"/>
          </w:tcPr>
          <w:p w14:paraId="7E562A1C" w14:textId="77777777" w:rsidR="00444010" w:rsidRDefault="00444010" w:rsidP="00444010">
            <w:pPr>
              <w:ind w:left="-23"/>
              <w:jc w:val="both"/>
              <w:rPr>
                <w:b/>
                <w:sz w:val="24"/>
                <w:szCs w:val="20"/>
              </w:rPr>
            </w:pPr>
          </w:p>
        </w:tc>
        <w:tc>
          <w:tcPr>
            <w:tcW w:w="851" w:type="dxa"/>
          </w:tcPr>
          <w:p w14:paraId="4A9A61F1" w14:textId="77777777" w:rsidR="00444010"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77777777" w:rsidR="00444010" w:rsidRPr="007E35C3" w:rsidRDefault="00444010" w:rsidP="00E230EB">
            <w:pPr>
              <w:numPr>
                <w:ilvl w:val="0"/>
                <w:numId w:val="21"/>
              </w:numPr>
              <w:ind w:left="357" w:hanging="357"/>
              <w:rPr>
                <w:szCs w:val="20"/>
              </w:rPr>
            </w:pPr>
            <w:r>
              <w:t xml:space="preserve">La surveillance a-t-elle été conduite conformément aux dispositions des chapitres 1.4. </w:t>
            </w:r>
            <w:proofErr w:type="gramStart"/>
            <w:r>
              <w:t>et</w:t>
            </w:r>
            <w:proofErr w:type="gramEnd"/>
            <w:r>
              <w:t xml:space="preserve"> 8.8.</w:t>
            </w:r>
            <w:r w:rsidR="00D97EED">
              <w:t> ?</w:t>
            </w:r>
            <w:r>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E230EB">
            <w:pPr>
              <w:numPr>
                <w:ilvl w:val="0"/>
                <w:numId w:val="2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77777777" w:rsidR="00444010" w:rsidRPr="007E35C3" w:rsidRDefault="00444010" w:rsidP="00E230EB">
            <w:pPr>
              <w:numPr>
                <w:ilvl w:val="0"/>
                <w:numId w:val="21"/>
              </w:numPr>
              <w:ind w:left="357" w:hanging="357"/>
              <w:rPr>
                <w:szCs w:val="20"/>
              </w:rPr>
            </w:pPr>
            <w:r>
              <w:t xml:space="preserve">Des prélèvements ont-ils été régulièrement soumis à des </w:t>
            </w:r>
            <w:hyperlink r:id="rId10" w:anchor="terme_laboratoire">
              <w:r>
                <w:t xml:space="preserve">laboratoires </w:t>
              </w:r>
            </w:hyperlink>
            <w:r>
              <w:t xml:space="preserve"> pour confirmer la fièvre aphteuse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17100B" w14:paraId="2F6C1EFE" w14:textId="77777777" w:rsidTr="0017100B">
        <w:trPr>
          <w:trHeight w:val="510"/>
        </w:trPr>
        <w:tc>
          <w:tcPr>
            <w:tcW w:w="7717" w:type="dxa"/>
            <w:vMerge w:val="restart"/>
            <w:vAlign w:val="center"/>
          </w:tcPr>
          <w:p w14:paraId="2BE257F4" w14:textId="75C0AFC3" w:rsidR="0017100B" w:rsidRPr="00AE0C9D" w:rsidRDefault="0017100B" w:rsidP="004E6B9E">
            <w:pPr>
              <w:numPr>
                <w:ilvl w:val="0"/>
                <w:numId w:val="21"/>
              </w:numPr>
              <w:ind w:left="357" w:hanging="357"/>
              <w:rPr>
                <w:szCs w:val="20"/>
              </w:rPr>
            </w:pPr>
            <w:r w:rsidRPr="00AE0C9D">
              <w:t xml:space="preserve">Si la vaccination </w:t>
            </w:r>
            <w:r w:rsidR="004E6B9E">
              <w:t xml:space="preserve">fait partie du </w:t>
            </w:r>
            <w:r w:rsidRPr="00AE0C9D">
              <w:t xml:space="preserve">programme de contrôle, des modifications ont-elles été apportées aux campagnes de vaccination obligatoire ? </w:t>
            </w:r>
          </w:p>
        </w:tc>
        <w:tc>
          <w:tcPr>
            <w:tcW w:w="992" w:type="dxa"/>
          </w:tcPr>
          <w:p w14:paraId="25550050" w14:textId="77777777" w:rsidR="0017100B" w:rsidRDefault="0017100B" w:rsidP="00444010">
            <w:pPr>
              <w:ind w:left="-23"/>
              <w:jc w:val="both"/>
              <w:rPr>
                <w:b/>
                <w:sz w:val="24"/>
                <w:szCs w:val="20"/>
              </w:rPr>
            </w:pPr>
          </w:p>
        </w:tc>
        <w:tc>
          <w:tcPr>
            <w:tcW w:w="851" w:type="dxa"/>
          </w:tcPr>
          <w:p w14:paraId="48F9BA47" w14:textId="77777777" w:rsidR="0017100B" w:rsidRDefault="0017100B" w:rsidP="00444010">
            <w:pPr>
              <w:ind w:left="-23"/>
              <w:jc w:val="both"/>
              <w:rPr>
                <w:b/>
                <w:sz w:val="24"/>
                <w:szCs w:val="20"/>
              </w:rPr>
            </w:pPr>
          </w:p>
        </w:tc>
      </w:tr>
      <w:tr w:rsidR="0017100B" w14:paraId="6EBD2230" w14:textId="77777777" w:rsidTr="0017100B">
        <w:trPr>
          <w:trHeight w:val="135"/>
        </w:trPr>
        <w:tc>
          <w:tcPr>
            <w:tcW w:w="7717" w:type="dxa"/>
            <w:vMerge/>
            <w:vAlign w:val="center"/>
          </w:tcPr>
          <w:p w14:paraId="5AC74932" w14:textId="77777777" w:rsidR="0017100B" w:rsidRDefault="0017100B" w:rsidP="00E230EB">
            <w:pPr>
              <w:numPr>
                <w:ilvl w:val="0"/>
                <w:numId w:val="21"/>
              </w:numPr>
              <w:ind w:left="357" w:hanging="357"/>
            </w:pPr>
          </w:p>
        </w:tc>
        <w:tc>
          <w:tcPr>
            <w:tcW w:w="1843" w:type="dxa"/>
            <w:gridSpan w:val="2"/>
          </w:tcPr>
          <w:p w14:paraId="58EBF259" w14:textId="2EFE75A2" w:rsidR="0017100B" w:rsidRPr="0017100B" w:rsidRDefault="0017100B" w:rsidP="00AE0C9D">
            <w:pPr>
              <w:jc w:val="center"/>
            </w:pPr>
            <w:r>
              <w:t>N/A (</w:t>
            </w:r>
            <w:r w:rsidRPr="0017100B">
              <w:t>la vaccination ne fait pas partie du programme de contrôle)</w:t>
            </w:r>
          </w:p>
        </w:tc>
      </w:tr>
      <w:tr w:rsidR="00444010" w14:paraId="15E3B6AD" w14:textId="77777777" w:rsidTr="00AE0C9D">
        <w:trPr>
          <w:trHeight w:val="126"/>
        </w:trPr>
        <w:tc>
          <w:tcPr>
            <w:tcW w:w="7717" w:type="dxa"/>
            <w:vAlign w:val="center"/>
          </w:tcPr>
          <w:p w14:paraId="61EDD103" w14:textId="77777777" w:rsidR="00444010" w:rsidRPr="00194E89" w:rsidRDefault="00444010" w:rsidP="00E230EB">
            <w:pPr>
              <w:numPr>
                <w:ilvl w:val="0"/>
                <w:numId w:val="2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77777777" w:rsidR="00444010" w:rsidRPr="00194E89" w:rsidRDefault="00444010" w:rsidP="00E230EB">
            <w:pPr>
              <w:numPr>
                <w:ilvl w:val="0"/>
                <w:numId w:val="21"/>
              </w:numPr>
              <w:ind w:left="357" w:hanging="357"/>
              <w:rPr>
                <w:szCs w:val="20"/>
              </w:rPr>
            </w:pPr>
            <w:r>
              <w:t xml:space="preserve">Des modifications ont-elles été apportées au plan de préparation et aux réponses aux situations d’urgence à mettre en œuvre en cas de survenue de </w:t>
            </w:r>
            <w:hyperlink r:id="rId11" w:anchor="terme_foyer_de_maladie">
              <w:r>
                <w:t xml:space="preserve">foyers </w:t>
              </w:r>
            </w:hyperlink>
            <w:r>
              <w:t>de fièvre aphteuse</w:t>
            </w:r>
            <w:r w:rsidR="00D97EED">
              <w:t> ?</w:t>
            </w:r>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77777777" w:rsidR="00444010" w:rsidRPr="007E35C3" w:rsidRDefault="00444010" w:rsidP="00E230EB">
            <w:pPr>
              <w:numPr>
                <w:ilvl w:val="0"/>
                <w:numId w:val="21"/>
              </w:numPr>
              <w:ind w:left="357" w:hanging="357"/>
              <w:rPr>
                <w:szCs w:val="20"/>
              </w:rPr>
            </w:pPr>
            <w:r>
              <w:t>Avez-vous enregistré une évolution de la situation épidémiologique, une augmentation de l’incidence de la fièvre aphteuse ou d’autres événements significatifs concernant le programme officiel de contrôle de la fièvre aphteuse 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77777777" w:rsidR="00BD3BB9" w:rsidRPr="00AE0C9D" w:rsidRDefault="00C6004D" w:rsidP="00444010">
            <w:pPr>
              <w:ind w:left="-23"/>
              <w:jc w:val="both"/>
              <w:rPr>
                <w:sz w:val="18"/>
                <w:szCs w:val="22"/>
              </w:rPr>
            </w:pPr>
            <w:r w:rsidRPr="00AE0C9D">
              <w:rPr>
                <w:sz w:val="18"/>
                <w:szCs w:val="22"/>
              </w:rPr>
              <w:t>**</w:t>
            </w:r>
            <w:r w:rsidR="00BD3BB9" w:rsidRPr="00AE0C9D">
              <w:rPr>
                <w:sz w:val="18"/>
                <w:szCs w:val="22"/>
              </w:rPr>
              <w:t>Veuillez fournir les informations à jour sur les progrès réalisés au regard du programme officiel de lutte et sur tout changement significatif concernant les points susmentionnés.</w:t>
            </w:r>
          </w:p>
          <w:p w14:paraId="14ED57A3" w14:textId="595D4DB5"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ayant un programme officiel de contrôle de la fièvre aphteuse validé par l’OIE.</w:t>
            </w:r>
          </w:p>
          <w:p w14:paraId="7047CB46" w14:textId="77777777" w:rsidR="00C6004D" w:rsidRPr="00C6004D" w:rsidRDefault="00C6004D" w:rsidP="0012562A">
            <w:pPr>
              <w:ind w:left="-23"/>
              <w:jc w:val="both"/>
              <w:rPr>
                <w:sz w:val="24"/>
                <w:szCs w:val="20"/>
              </w:rPr>
            </w:pPr>
            <w:proofErr w:type="gramStart"/>
            <w:r w:rsidRPr="00AE0C9D">
              <w:rPr>
                <w:sz w:val="18"/>
                <w:szCs w:val="18"/>
              </w:rPr>
              <w:t>Note:</w:t>
            </w:r>
            <w:proofErr w:type="gramEnd"/>
            <w:r w:rsidRPr="00AE0C9D">
              <w:rPr>
                <w:sz w:val="18"/>
                <w:szCs w:val="18"/>
              </w:rPr>
              <w:t xml:space="preserve"> conformément à l'article 8.8.39. </w:t>
            </w:r>
            <w:proofErr w:type="gramStart"/>
            <w:r w:rsidRPr="00AE0C9D">
              <w:rPr>
                <w:sz w:val="18"/>
                <w:szCs w:val="18"/>
              </w:rPr>
              <w:t>du</w:t>
            </w:r>
            <w:proofErr w:type="gramEnd"/>
            <w:r w:rsidRPr="00AE0C9D">
              <w:rPr>
                <w:sz w:val="18"/>
                <w:szCs w:val="18"/>
              </w:rPr>
              <w:t xml:space="preserve"> </w:t>
            </w:r>
            <w:r w:rsidRPr="00AE0C9D">
              <w:rPr>
                <w:i/>
                <w:sz w:val="18"/>
                <w:szCs w:val="18"/>
              </w:rPr>
              <w:t>Code terrestre</w:t>
            </w:r>
            <w:r w:rsidRPr="00AE0C9D">
              <w:rPr>
                <w:sz w:val="18"/>
                <w:szCs w:val="18"/>
              </w:rPr>
              <w:t xml:space="preserve">, la reconfirmation annuelle d'un programme national de contrôle de la fièvre aphteuse validé doit être étayée par des documents justificatifs fournissant une mise à jour de la progression du programme de contrôle. En particulier, </w:t>
            </w:r>
            <w:r w:rsidR="0012562A" w:rsidRPr="00AE0C9D">
              <w:rPr>
                <w:sz w:val="18"/>
                <w:szCs w:val="18"/>
              </w:rPr>
              <w:t>veuillez fournir</w:t>
            </w:r>
            <w:r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 xml:space="preserve">mesures correctives; ii) les progrès réalisés </w:t>
            </w:r>
            <w:r w:rsidR="0012562A" w:rsidRPr="00AE0C9D">
              <w:rPr>
                <w:sz w:val="18"/>
                <w:szCs w:val="18"/>
              </w:rPr>
              <w:t>vis-à-vis du</w:t>
            </w:r>
            <w:r w:rsidRPr="00AE0C9D">
              <w:rPr>
                <w:sz w:val="18"/>
                <w:szCs w:val="18"/>
              </w:rPr>
              <w:t xml:space="preserve"> calendrier (établi au moment de l</w:t>
            </w:r>
            <w:r w:rsidR="00A9526A" w:rsidRPr="00AE0C9D">
              <w:rPr>
                <w:sz w:val="18"/>
                <w:szCs w:val="18"/>
              </w:rPr>
              <w:t>a validation</w:t>
            </w:r>
            <w:r w:rsidRPr="00AE0C9D">
              <w:rPr>
                <w:sz w:val="18"/>
                <w:szCs w:val="18"/>
              </w:rPr>
              <w:t xml:space="preserve">) et, si un délai n’a pas été respecté, </w:t>
            </w:r>
            <w:r w:rsidR="0012562A"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mesures correctives; iii) nombre d'animaux vaccinés par espèce, résultats de la couverture vaccinale et immunité de la population; et iv) preuves de laboratoire indiquant que le vaccin utilisé est approprié aux souches du virus circulant dans et / ou menaçant le pays.</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02B25D01" w14:textId="26DA1ED2" w:rsidR="0011161B" w:rsidRPr="009F5E8E" w:rsidRDefault="0011161B" w:rsidP="00930E86">
      <w:pPr>
        <w:spacing w:after="240"/>
        <w:rPr>
          <w:rFonts w:eastAsia="Malgun Gothic"/>
          <w:b/>
          <w:szCs w:val="20"/>
          <w:lang w:eastAsia="ko-KR"/>
        </w:rPr>
      </w:pPr>
      <w:r w:rsidRPr="00DF1067">
        <w:rPr>
          <w:b/>
          <w:bCs/>
        </w:rPr>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du </w:t>
      </w:r>
      <w:r w:rsidRPr="00DF1067">
        <w:rPr>
          <w:b/>
          <w:bCs/>
          <w:i/>
        </w:rPr>
        <w:t>Code sanitaire pour les animaux terrestres</w:t>
      </w:r>
      <w:r w:rsidRPr="00DF1067">
        <w:rPr>
          <w:b/>
          <w:bCs/>
        </w:rPr>
        <w:t xml:space="preserve"> (</w:t>
      </w:r>
      <w:r w:rsidR="00C6004D">
        <w:rPr>
          <w:b/>
          <w:bCs/>
        </w:rPr>
        <w:t>201</w:t>
      </w:r>
      <w:r w:rsidR="006523C3">
        <w:rPr>
          <w:b/>
          <w:bCs/>
        </w:rPr>
        <w:t>9</w:t>
      </w:r>
      <w:r w:rsidRPr="00DF1067">
        <w:rPr>
          <w:b/>
          <w:bCs/>
        </w:rPr>
        <w:t>)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0FA68EE9" w14:textId="77777777" w:rsidR="00185BE4" w:rsidRPr="00185BE4" w:rsidRDefault="00185BE4" w:rsidP="00C94C9C">
            <w:pPr>
              <w:pStyle w:val="document-article-libelle"/>
              <w:spacing w:before="0" w:beforeAutospacing="0" w:after="120"/>
              <w:rPr>
                <w:rFonts w:ascii="Times New Roman" w:hAnsi="Times New Roman" w:cs="Times New Roman"/>
                <w:sz w:val="20"/>
                <w:szCs w:val="20"/>
              </w:rPr>
            </w:pPr>
            <w:r w:rsidRPr="00185BE4">
              <w:rPr>
                <w:rFonts w:ascii="Times New Roman" w:hAnsi="Times New Roman" w:cs="Times New Roman"/>
                <w:sz w:val="20"/>
                <w:szCs w:val="20"/>
              </w:rPr>
              <w:lastRenderedPageBreak/>
              <w:t>Article 8.8.39.</w:t>
            </w:r>
          </w:p>
          <w:p w14:paraId="03C5462F" w14:textId="77777777" w:rsidR="00185BE4" w:rsidRPr="00BD3BB9" w:rsidRDefault="00185BE4" w:rsidP="00185BE4">
            <w:pPr>
              <w:rPr>
                <w:sz w:val="8"/>
                <w:szCs w:val="20"/>
              </w:rPr>
            </w:pPr>
          </w:p>
          <w:p w14:paraId="422232C5" w14:textId="77777777" w:rsidR="00185BE4" w:rsidRPr="00185BE4" w:rsidRDefault="00185BE4" w:rsidP="00C94C9C">
            <w:pPr>
              <w:pStyle w:val="document-article-intitule"/>
              <w:spacing w:after="120" w:afterAutospacing="0"/>
              <w:ind w:left="0"/>
              <w:rPr>
                <w:sz w:val="20"/>
                <w:szCs w:val="20"/>
              </w:rPr>
            </w:pPr>
            <w:r w:rsidRPr="00185BE4">
              <w:rPr>
                <w:sz w:val="20"/>
                <w:szCs w:val="20"/>
              </w:rPr>
              <w:t>Programme officiel de lutte contre la fièvre aphteuse validé par l'OIE</w:t>
            </w:r>
          </w:p>
          <w:p w14:paraId="35028429" w14:textId="77777777" w:rsidR="006523C3" w:rsidRPr="00C046B8" w:rsidRDefault="006523C3" w:rsidP="00DB6AE2">
            <w:pPr>
              <w:pStyle w:val="style-standard-ouvrage"/>
              <w:spacing w:before="0" w:beforeAutospacing="0" w:after="120" w:afterAutospacing="0"/>
              <w:ind w:left="0"/>
              <w:jc w:val="both"/>
              <w:rPr>
                <w:lang w:bidi="ar-SA"/>
              </w:rPr>
            </w:pPr>
            <w:r w:rsidRPr="00C046B8">
              <w:t>L'objectif général du </w:t>
            </w:r>
            <w:hyperlink r:id="rId12" w:anchor="terme_programme_officiel_de_prophylaxie" w:history="1">
              <w:r w:rsidRPr="00C046B8">
                <w:rPr>
                  <w:rStyle w:val="Lienhypertexte"/>
                  <w:i/>
                  <w:iCs/>
                  <w:color w:val="3094C9"/>
                </w:rPr>
                <w:t>programme officiel de lutte</w:t>
              </w:r>
            </w:hyperlink>
            <w:r w:rsidRPr="00C046B8">
              <w:t> contre la fièvre aphteuse validé par l'OIE est de permettre aux pays d'améliorer progressivement leur situation sanitaire au regard de cette maladie et, </w:t>
            </w:r>
            <w:r w:rsidRPr="00C046B8">
              <w:rPr>
                <w:i/>
                <w:iCs/>
              </w:rPr>
              <w:t>in fine</w:t>
            </w:r>
            <w:r w:rsidRPr="00C046B8">
              <w:t>, d'atteindre le statut indemne de fièvre aphteuse. Le </w:t>
            </w:r>
            <w:hyperlink r:id="rId13" w:anchor="terme_programme_officiel_de_prophylaxie" w:history="1">
              <w:r w:rsidRPr="00C046B8">
                <w:rPr>
                  <w:rStyle w:val="Lienhypertexte"/>
                  <w:i/>
                  <w:iCs/>
                  <w:color w:val="3094C9"/>
                </w:rPr>
                <w:t>programme officiel de lutte</w:t>
              </w:r>
            </w:hyperlink>
            <w:r w:rsidRPr="00C046B8">
              <w:t> doit être applicable au pays tout entier même si certaines mesures ne sont destinées qu'à certaines </w:t>
            </w:r>
            <w:hyperlink r:id="rId14" w:anchor="terme_sous_population" w:history="1">
              <w:r w:rsidRPr="00C046B8">
                <w:rPr>
                  <w:rStyle w:val="Lienhypertexte"/>
                  <w:i/>
                  <w:iCs/>
                  <w:color w:val="3094C9"/>
                </w:rPr>
                <w:t>sous-populations</w:t>
              </w:r>
            </w:hyperlink>
            <w:r w:rsidRPr="00C046B8">
              <w:t> bien définies.</w:t>
            </w:r>
          </w:p>
          <w:p w14:paraId="3C94F582" w14:textId="77777777" w:rsidR="006523C3" w:rsidRPr="00C046B8" w:rsidRDefault="006523C3" w:rsidP="00DB6AE2">
            <w:pPr>
              <w:pStyle w:val="style-standard-ouvrage"/>
              <w:spacing w:before="0" w:beforeAutospacing="0" w:after="120" w:afterAutospacing="0"/>
              <w:ind w:left="0"/>
              <w:jc w:val="both"/>
            </w:pPr>
            <w:r w:rsidRPr="00C046B8">
              <w:t>Les États membres peuvent solliciter, sur une base volontaire, la validation de leur </w:t>
            </w:r>
            <w:hyperlink r:id="rId15" w:anchor="terme_programme_officiel_de_prophylaxie" w:history="1">
              <w:r w:rsidRPr="00C046B8">
                <w:rPr>
                  <w:rStyle w:val="Lienhypertexte"/>
                  <w:i/>
                  <w:iCs/>
                  <w:color w:val="3094C9"/>
                </w:rPr>
                <w:t>programme officiel de lutte</w:t>
              </w:r>
            </w:hyperlink>
            <w:r w:rsidRPr="00C046B8">
              <w:t> contre la fièvre aphteuse après avoir mis en œuvre des mesures en conformité avec le présent article.</w:t>
            </w:r>
          </w:p>
          <w:p w14:paraId="399B432F" w14:textId="77777777" w:rsidR="006523C3" w:rsidRPr="00C046B8" w:rsidRDefault="006523C3" w:rsidP="00DB6AE2">
            <w:pPr>
              <w:pStyle w:val="style-standard-ouvrage"/>
              <w:spacing w:before="0" w:beforeAutospacing="0" w:after="120" w:afterAutospacing="0"/>
              <w:ind w:left="0"/>
              <w:jc w:val="both"/>
            </w:pPr>
            <w:r w:rsidRPr="00C046B8">
              <w:t>Afin qu'un </w:t>
            </w:r>
            <w:hyperlink r:id="rId16" w:anchor="terme_programme_officiel_de_prophylaxie" w:history="1">
              <w:r w:rsidRPr="00C046B8">
                <w:rPr>
                  <w:rStyle w:val="Lienhypertexte"/>
                  <w:i/>
                  <w:iCs/>
                  <w:color w:val="3094C9"/>
                </w:rPr>
                <w:t>programme officiel de lutte</w:t>
              </w:r>
            </w:hyperlink>
            <w:r w:rsidRPr="00C046B8">
              <w:t> contre la fièvre aphteuse soit validé par l'OIE, l'État membre doit :</w:t>
            </w:r>
          </w:p>
          <w:p w14:paraId="146D3C71" w14:textId="77777777" w:rsidR="006523C3" w:rsidRPr="00C046B8" w:rsidRDefault="006523C3" w:rsidP="00DB6AE2">
            <w:pPr>
              <w:numPr>
                <w:ilvl w:val="0"/>
                <w:numId w:val="43"/>
              </w:numPr>
              <w:spacing w:line="259" w:lineRule="auto"/>
              <w:jc w:val="both"/>
              <w:rPr>
                <w:color w:val="000000"/>
                <w:sz w:val="18"/>
                <w:szCs w:val="18"/>
              </w:rPr>
            </w:pPr>
            <w:r w:rsidRPr="00C046B8">
              <w:rPr>
                <w:color w:val="000000"/>
                <w:sz w:val="18"/>
                <w:szCs w:val="18"/>
              </w:rPr>
              <w:t>faire preuve de célérité et de régularité dans la notification des maladies animales, conformément aux exigences mentionnées au chapitre </w:t>
            </w:r>
            <w:hyperlink r:id="rId17" w:anchor="chapitre_notification" w:history="1">
              <w:r w:rsidRPr="00C046B8">
                <w:rPr>
                  <w:rStyle w:val="Lienhypertexte"/>
                  <w:color w:val="3094C9"/>
                  <w:sz w:val="18"/>
                  <w:szCs w:val="18"/>
                </w:rPr>
                <w:t>1.1.</w:t>
              </w:r>
            </w:hyperlink>
            <w:r w:rsidRPr="00C046B8">
              <w:rPr>
                <w:color w:val="000000"/>
                <w:sz w:val="18"/>
                <w:szCs w:val="18"/>
              </w:rPr>
              <w:t> ;</w:t>
            </w:r>
          </w:p>
          <w:p w14:paraId="3DB470C6" w14:textId="77777777" w:rsidR="006523C3" w:rsidRPr="00C046B8" w:rsidRDefault="006523C3" w:rsidP="00DB6AE2">
            <w:pPr>
              <w:numPr>
                <w:ilvl w:val="0"/>
                <w:numId w:val="43"/>
              </w:numPr>
              <w:spacing w:line="259" w:lineRule="auto"/>
              <w:jc w:val="both"/>
              <w:rPr>
                <w:color w:val="000000"/>
                <w:sz w:val="18"/>
                <w:szCs w:val="18"/>
              </w:rPr>
            </w:pPr>
            <w:r w:rsidRPr="00C046B8">
              <w:rPr>
                <w:color w:val="000000"/>
                <w:sz w:val="18"/>
                <w:szCs w:val="18"/>
              </w:rPr>
              <w:t>présenter des éléments de preuve étayant la capacité des </w:t>
            </w:r>
            <w:hyperlink r:id="rId18" w:anchor="terme_services_veterinaires" w:history="1">
              <w:r w:rsidRPr="00C046B8">
                <w:rPr>
                  <w:rStyle w:val="Lienhypertexte"/>
                  <w:i/>
                  <w:iCs/>
                  <w:color w:val="3094C9"/>
                  <w:sz w:val="18"/>
                  <w:szCs w:val="18"/>
                </w:rPr>
                <w:t>Services vétérinaires</w:t>
              </w:r>
            </w:hyperlink>
            <w:r w:rsidRPr="00C046B8">
              <w:rPr>
                <w:color w:val="000000"/>
                <w:sz w:val="18"/>
                <w:szCs w:val="18"/>
              </w:rPr>
              <w:t> à assurer la maîtrise de la fièvre aphteuse ; il est possible de communiquer ces éléments de preuve par l'intermédiaire du processus PVS de l'OIE ;</w:t>
            </w:r>
          </w:p>
          <w:p w14:paraId="4E573ED6" w14:textId="77777777" w:rsidR="006523C3" w:rsidRPr="00C046B8" w:rsidRDefault="006523C3" w:rsidP="00DB6AE2">
            <w:pPr>
              <w:numPr>
                <w:ilvl w:val="0"/>
                <w:numId w:val="43"/>
              </w:numPr>
              <w:spacing w:line="259" w:lineRule="auto"/>
              <w:jc w:val="both"/>
              <w:rPr>
                <w:color w:val="000000"/>
                <w:sz w:val="18"/>
                <w:szCs w:val="18"/>
              </w:rPr>
            </w:pPr>
            <w:r w:rsidRPr="004E6B9E">
              <w:rPr>
                <w:sz w:val="18"/>
                <w:szCs w:val="18"/>
                <w:lang w:eastAsia="en-US" w:bidi="ar-SA"/>
              </w:rPr>
              <w:t>soumettre un plan détaillé du programme destiné à contrôler et, in fine, à éradiquer la fièvre aphteuse dans le pays ou la </w:t>
            </w:r>
            <w:hyperlink r:id="rId19" w:anchor="terme_zone_region" w:history="1">
              <w:r w:rsidRPr="004E6B9E">
                <w:rPr>
                  <w:lang w:eastAsia="en-US" w:bidi="ar-SA"/>
                </w:rPr>
                <w:t>zone</w:t>
              </w:r>
            </w:hyperlink>
            <w:r w:rsidRPr="004E6B9E">
              <w:rPr>
                <w:sz w:val="18"/>
                <w:szCs w:val="18"/>
                <w:lang w:eastAsia="en-US" w:bidi="ar-SA"/>
              </w:rPr>
              <w:t>, qui comprenne en particulier :</w:t>
            </w:r>
          </w:p>
          <w:p w14:paraId="04126898" w14:textId="77777777" w:rsidR="006523C3" w:rsidRPr="00C046B8" w:rsidRDefault="006523C3" w:rsidP="00DB6AE2">
            <w:pPr>
              <w:numPr>
                <w:ilvl w:val="1"/>
                <w:numId w:val="43"/>
              </w:numPr>
              <w:spacing w:line="259" w:lineRule="auto"/>
              <w:jc w:val="both"/>
              <w:rPr>
                <w:color w:val="000000"/>
                <w:sz w:val="18"/>
                <w:szCs w:val="18"/>
              </w:rPr>
            </w:pPr>
            <w:proofErr w:type="gramStart"/>
            <w:r w:rsidRPr="00C046B8">
              <w:rPr>
                <w:color w:val="000000"/>
                <w:sz w:val="18"/>
                <w:szCs w:val="18"/>
              </w:rPr>
              <w:t>le</w:t>
            </w:r>
            <w:proofErr w:type="gramEnd"/>
            <w:r w:rsidRPr="00C046B8">
              <w:rPr>
                <w:color w:val="000000"/>
                <w:sz w:val="18"/>
                <w:szCs w:val="18"/>
              </w:rPr>
              <w:t xml:space="preserve"> calendrier ;</w:t>
            </w:r>
          </w:p>
          <w:p w14:paraId="51434252" w14:textId="77777777" w:rsidR="006523C3" w:rsidRPr="00C046B8" w:rsidRDefault="006523C3" w:rsidP="00DB6AE2">
            <w:pPr>
              <w:numPr>
                <w:ilvl w:val="1"/>
                <w:numId w:val="43"/>
              </w:numPr>
              <w:spacing w:line="259" w:lineRule="auto"/>
              <w:jc w:val="both"/>
              <w:rPr>
                <w:color w:val="000000"/>
                <w:sz w:val="18"/>
                <w:szCs w:val="18"/>
              </w:rPr>
            </w:pPr>
            <w:proofErr w:type="gramStart"/>
            <w:r w:rsidRPr="00C046B8">
              <w:rPr>
                <w:color w:val="000000"/>
                <w:sz w:val="18"/>
                <w:szCs w:val="18"/>
              </w:rPr>
              <w:t>les</w:t>
            </w:r>
            <w:proofErr w:type="gramEnd"/>
            <w:r w:rsidRPr="00C046B8">
              <w:rPr>
                <w:color w:val="000000"/>
                <w:sz w:val="18"/>
                <w:szCs w:val="18"/>
              </w:rPr>
              <w:t xml:space="preserve"> indicateurs de performance permettant d'évaluer l'efficacité des mesures de contrôle mises en œuvre;</w:t>
            </w:r>
          </w:p>
          <w:p w14:paraId="1C5418FC" w14:textId="77777777" w:rsidR="006523C3" w:rsidRPr="00C046B8" w:rsidRDefault="006523C3" w:rsidP="00DB6AE2">
            <w:pPr>
              <w:numPr>
                <w:ilvl w:val="1"/>
                <w:numId w:val="43"/>
              </w:numPr>
              <w:spacing w:line="259" w:lineRule="auto"/>
              <w:jc w:val="both"/>
              <w:rPr>
                <w:color w:val="000000"/>
                <w:sz w:val="18"/>
                <w:szCs w:val="18"/>
              </w:rPr>
            </w:pPr>
            <w:r w:rsidRPr="00C046B8">
              <w:rPr>
                <w:color w:val="000000"/>
                <w:sz w:val="18"/>
                <w:szCs w:val="18"/>
              </w:rPr>
              <w:t>une documentation indiquant que le </w:t>
            </w:r>
            <w:hyperlink r:id="rId20" w:anchor="terme_programme_officiel_de_prophylaxie" w:history="1">
              <w:r w:rsidRPr="00C046B8">
                <w:rPr>
                  <w:rStyle w:val="Lienhypertexte"/>
                  <w:i/>
                  <w:iCs/>
                  <w:color w:val="3094C9"/>
                  <w:sz w:val="18"/>
                  <w:szCs w:val="18"/>
                </w:rPr>
                <w:t>programme officiel de lutte</w:t>
              </w:r>
            </w:hyperlink>
            <w:r w:rsidRPr="00C046B8">
              <w:rPr>
                <w:color w:val="000000"/>
                <w:sz w:val="18"/>
                <w:szCs w:val="18"/>
              </w:rPr>
              <w:t> contre la fièvre aphteuse est applicable au pays tout entier ;</w:t>
            </w:r>
          </w:p>
          <w:p w14:paraId="614F432D" w14:textId="77777777" w:rsidR="006523C3" w:rsidRPr="00C046B8" w:rsidRDefault="006523C3" w:rsidP="00DB6AE2">
            <w:pPr>
              <w:numPr>
                <w:ilvl w:val="0"/>
                <w:numId w:val="43"/>
              </w:numPr>
              <w:spacing w:line="259" w:lineRule="auto"/>
              <w:jc w:val="both"/>
              <w:rPr>
                <w:color w:val="000000"/>
                <w:sz w:val="18"/>
                <w:szCs w:val="18"/>
              </w:rPr>
            </w:pPr>
            <w:proofErr w:type="gramStart"/>
            <w:r w:rsidRPr="00C046B8">
              <w:rPr>
                <w:color w:val="000000"/>
                <w:sz w:val="18"/>
                <w:szCs w:val="18"/>
              </w:rPr>
              <w:t>soumettre</w:t>
            </w:r>
            <w:proofErr w:type="gramEnd"/>
            <w:r w:rsidRPr="00C046B8">
              <w:rPr>
                <w:color w:val="000000"/>
                <w:sz w:val="18"/>
                <w:szCs w:val="18"/>
              </w:rPr>
              <w:t xml:space="preserve"> un dossier sur l'épidémiologie de la fièvre aphteuse dans le pays décrivant notamment :</w:t>
            </w:r>
          </w:p>
          <w:p w14:paraId="38D10810" w14:textId="77777777" w:rsidR="006523C3" w:rsidRPr="00C046B8" w:rsidRDefault="006523C3" w:rsidP="00DB6AE2">
            <w:pPr>
              <w:numPr>
                <w:ilvl w:val="1"/>
                <w:numId w:val="44"/>
              </w:numPr>
              <w:spacing w:line="259" w:lineRule="auto"/>
              <w:jc w:val="both"/>
              <w:rPr>
                <w:color w:val="000000"/>
                <w:sz w:val="18"/>
                <w:szCs w:val="18"/>
              </w:rPr>
            </w:pPr>
            <w:proofErr w:type="gramStart"/>
            <w:r w:rsidRPr="00C046B8">
              <w:rPr>
                <w:color w:val="000000"/>
                <w:sz w:val="18"/>
                <w:szCs w:val="18"/>
              </w:rPr>
              <w:t>l'épidémiologie</w:t>
            </w:r>
            <w:proofErr w:type="gramEnd"/>
            <w:r w:rsidRPr="00C046B8">
              <w:rPr>
                <w:color w:val="000000"/>
                <w:sz w:val="18"/>
                <w:szCs w:val="18"/>
              </w:rPr>
              <w:t xml:space="preserve"> générale de la fièvre aphteuse, en soulignant l'état actuel des connaissances et des lacunes ainsi que les progrès ayant été accomplis quant à la maîtrise de la maladie ;</w:t>
            </w:r>
          </w:p>
          <w:p w14:paraId="462F2B2C" w14:textId="77777777" w:rsidR="006523C3" w:rsidRPr="00C046B8" w:rsidRDefault="006523C3" w:rsidP="00DB6AE2">
            <w:pPr>
              <w:numPr>
                <w:ilvl w:val="1"/>
                <w:numId w:val="44"/>
              </w:numPr>
              <w:spacing w:line="259" w:lineRule="auto"/>
              <w:jc w:val="both"/>
              <w:rPr>
                <w:color w:val="000000"/>
                <w:sz w:val="18"/>
                <w:szCs w:val="18"/>
              </w:rPr>
            </w:pPr>
            <w:r w:rsidRPr="00C046B8">
              <w:rPr>
                <w:color w:val="000000"/>
                <w:sz w:val="18"/>
                <w:szCs w:val="18"/>
              </w:rPr>
              <w:t>les mesures appliquées pour prévenir l'introduction de l'</w:t>
            </w:r>
            <w:hyperlink r:id="rId21" w:anchor="terme_infection" w:history="1">
              <w:r w:rsidRPr="00C046B8">
                <w:rPr>
                  <w:rStyle w:val="Lienhypertexte"/>
                  <w:i/>
                  <w:iCs/>
                  <w:color w:val="3094C9"/>
                  <w:sz w:val="18"/>
                  <w:szCs w:val="18"/>
                </w:rPr>
                <w:t>infection</w:t>
              </w:r>
            </w:hyperlink>
            <w:r w:rsidRPr="00C046B8">
              <w:rPr>
                <w:color w:val="000000"/>
                <w:sz w:val="18"/>
                <w:szCs w:val="18"/>
              </w:rPr>
              <w:t> et pour garantir la détection rapide des </w:t>
            </w:r>
            <w:hyperlink r:id="rId22" w:anchor="terme_foyer_de_maladie" w:history="1">
              <w:r w:rsidRPr="00C046B8">
                <w:rPr>
                  <w:rStyle w:val="Lienhypertexte"/>
                  <w:i/>
                  <w:iCs/>
                  <w:color w:val="3094C9"/>
                  <w:sz w:val="18"/>
                  <w:szCs w:val="18"/>
                </w:rPr>
                <w:t>foyers</w:t>
              </w:r>
            </w:hyperlink>
            <w:r w:rsidRPr="00C046B8">
              <w:rPr>
                <w:color w:val="000000"/>
                <w:sz w:val="18"/>
                <w:szCs w:val="18"/>
              </w:rPr>
              <w:t> de fièvre aphteuse et la réponse donnée afin de réduire leur incidence et d'éliminer la transmission du virus dans au moins une </w:t>
            </w:r>
            <w:hyperlink r:id="rId23" w:anchor="terme_zone_region" w:history="1">
              <w:r w:rsidRPr="00C046B8">
                <w:rPr>
                  <w:rStyle w:val="Lienhypertexte"/>
                  <w:i/>
                  <w:iCs/>
                  <w:color w:val="3094C9"/>
                  <w:sz w:val="18"/>
                  <w:szCs w:val="18"/>
                </w:rPr>
                <w:t>zone</w:t>
              </w:r>
            </w:hyperlink>
            <w:r w:rsidRPr="00C046B8">
              <w:rPr>
                <w:color w:val="000000"/>
                <w:sz w:val="18"/>
                <w:szCs w:val="18"/>
              </w:rPr>
              <w:t> du pays ;</w:t>
            </w:r>
          </w:p>
          <w:p w14:paraId="1A981D44" w14:textId="77777777" w:rsidR="006523C3" w:rsidRPr="00C046B8" w:rsidRDefault="006523C3" w:rsidP="00DB6AE2">
            <w:pPr>
              <w:numPr>
                <w:ilvl w:val="1"/>
                <w:numId w:val="44"/>
              </w:numPr>
              <w:spacing w:line="259" w:lineRule="auto"/>
              <w:jc w:val="both"/>
              <w:rPr>
                <w:color w:val="000000"/>
                <w:sz w:val="18"/>
                <w:szCs w:val="18"/>
              </w:rPr>
            </w:pPr>
            <w:proofErr w:type="gramStart"/>
            <w:r w:rsidRPr="00C046B8">
              <w:rPr>
                <w:color w:val="000000"/>
                <w:sz w:val="18"/>
                <w:szCs w:val="18"/>
              </w:rPr>
              <w:t>les</w:t>
            </w:r>
            <w:proofErr w:type="gramEnd"/>
            <w:r w:rsidRPr="00C046B8">
              <w:rPr>
                <w:color w:val="000000"/>
                <w:sz w:val="18"/>
                <w:szCs w:val="18"/>
              </w:rPr>
              <w:t xml:space="preserve"> principaux systèmes de production du bétail, et les schémas de mouvement des animaux sensibles à la fièvre aphteuse et de circulation des produits qui en sont issus à l'intérieur et en direction du pays ;</w:t>
            </w:r>
          </w:p>
          <w:p w14:paraId="58A76ADB" w14:textId="77777777" w:rsidR="006523C3" w:rsidRPr="00C046B8" w:rsidRDefault="006523C3" w:rsidP="00DB6AE2">
            <w:pPr>
              <w:numPr>
                <w:ilvl w:val="0"/>
                <w:numId w:val="44"/>
              </w:numPr>
              <w:spacing w:line="259" w:lineRule="auto"/>
              <w:jc w:val="both"/>
              <w:rPr>
                <w:color w:val="000000"/>
                <w:sz w:val="18"/>
                <w:szCs w:val="18"/>
              </w:rPr>
            </w:pPr>
            <w:proofErr w:type="gramStart"/>
            <w:r w:rsidRPr="00C046B8">
              <w:rPr>
                <w:color w:val="000000"/>
                <w:sz w:val="18"/>
                <w:szCs w:val="18"/>
              </w:rPr>
              <w:t>présenter</w:t>
            </w:r>
            <w:proofErr w:type="gramEnd"/>
            <w:r w:rsidRPr="00C046B8">
              <w:rPr>
                <w:color w:val="000000"/>
                <w:sz w:val="18"/>
                <w:szCs w:val="18"/>
              </w:rPr>
              <w:t xml:space="preserve"> les éléments de preuve montrant qu'est mise en place une </w:t>
            </w:r>
            <w:hyperlink r:id="rId24" w:anchor="terme_surveillance" w:history="1">
              <w:r w:rsidRPr="00C046B8">
                <w:rPr>
                  <w:rStyle w:val="Lienhypertexte"/>
                  <w:i/>
                  <w:iCs/>
                  <w:color w:val="3094C9"/>
                  <w:sz w:val="18"/>
                  <w:szCs w:val="18"/>
                </w:rPr>
                <w:t>surveillance</w:t>
              </w:r>
            </w:hyperlink>
            <w:r w:rsidRPr="00C046B8">
              <w:rPr>
                <w:color w:val="000000"/>
                <w:sz w:val="18"/>
                <w:szCs w:val="18"/>
              </w:rPr>
              <w:t> de la fièvre aphteuse :</w:t>
            </w:r>
          </w:p>
          <w:p w14:paraId="29BB3365" w14:textId="77777777" w:rsidR="006523C3" w:rsidRPr="00C046B8" w:rsidRDefault="006523C3" w:rsidP="00DB6AE2">
            <w:pPr>
              <w:numPr>
                <w:ilvl w:val="1"/>
                <w:numId w:val="45"/>
              </w:numPr>
              <w:spacing w:line="259" w:lineRule="auto"/>
              <w:jc w:val="both"/>
              <w:rPr>
                <w:color w:val="000000"/>
                <w:sz w:val="18"/>
                <w:szCs w:val="18"/>
              </w:rPr>
            </w:pPr>
            <w:r w:rsidRPr="00C046B8">
              <w:rPr>
                <w:color w:val="000000"/>
                <w:sz w:val="18"/>
                <w:szCs w:val="18"/>
              </w:rPr>
              <w:t>qui tienne compte des dispositions relatives à la </w:t>
            </w:r>
            <w:hyperlink r:id="rId25" w:anchor="terme_surveillance" w:history="1">
              <w:r w:rsidRPr="00C046B8">
                <w:rPr>
                  <w:rStyle w:val="Lienhypertexte"/>
                  <w:i/>
                  <w:iCs/>
                  <w:color w:val="3094C9"/>
                  <w:sz w:val="18"/>
                  <w:szCs w:val="18"/>
                </w:rPr>
                <w:t>surveillance</w:t>
              </w:r>
            </w:hyperlink>
            <w:r w:rsidRPr="00C046B8">
              <w:rPr>
                <w:color w:val="000000"/>
                <w:sz w:val="18"/>
                <w:szCs w:val="18"/>
              </w:rPr>
              <w:t> prévues au chapitre </w:t>
            </w:r>
            <w:hyperlink r:id="rId26" w:anchor="chapitre_surveillance_general" w:history="1">
              <w:r w:rsidRPr="00C046B8">
                <w:rPr>
                  <w:rStyle w:val="Lienhypertexte"/>
                  <w:color w:val="3094C9"/>
                  <w:sz w:val="18"/>
                  <w:szCs w:val="18"/>
                </w:rPr>
                <w:t>1.4.</w:t>
              </w:r>
            </w:hyperlink>
            <w:r w:rsidRPr="00C046B8">
              <w:rPr>
                <w:color w:val="000000"/>
                <w:sz w:val="18"/>
                <w:szCs w:val="18"/>
              </w:rPr>
              <w:t> et dans le présent chapitre ;</w:t>
            </w:r>
          </w:p>
          <w:p w14:paraId="0DAF6962" w14:textId="77777777" w:rsidR="006523C3" w:rsidRPr="00C046B8" w:rsidRDefault="006523C3" w:rsidP="00DB6AE2">
            <w:pPr>
              <w:numPr>
                <w:ilvl w:val="1"/>
                <w:numId w:val="45"/>
              </w:numPr>
              <w:spacing w:line="259" w:lineRule="auto"/>
              <w:jc w:val="both"/>
              <w:rPr>
                <w:color w:val="000000"/>
                <w:sz w:val="18"/>
                <w:szCs w:val="18"/>
              </w:rPr>
            </w:pPr>
            <w:r w:rsidRPr="00C046B8">
              <w:rPr>
                <w:color w:val="000000"/>
                <w:sz w:val="18"/>
                <w:szCs w:val="18"/>
              </w:rPr>
              <w:t>qui mette en œuvre les capacités et les procédures nécessaires au diagnostic de la fièvre aphteuse comprenant, entre autres, la soumission régulière de prélèvements à des </w:t>
            </w:r>
            <w:hyperlink r:id="rId27" w:anchor="terme_laboratoire" w:history="1">
              <w:r w:rsidRPr="00C046B8">
                <w:rPr>
                  <w:rStyle w:val="Lienhypertexte"/>
                  <w:i/>
                  <w:iCs/>
                  <w:color w:val="3094C9"/>
                  <w:sz w:val="18"/>
                  <w:szCs w:val="18"/>
                </w:rPr>
                <w:t>laboratoires</w:t>
              </w:r>
            </w:hyperlink>
            <w:r w:rsidRPr="00C046B8">
              <w:rPr>
                <w:color w:val="000000"/>
                <w:sz w:val="18"/>
                <w:szCs w:val="18"/>
              </w:rPr>
              <w:t> chargés de la réalisation du diagnostic et de l'étude des caractéristiques des souches virales ;</w:t>
            </w:r>
          </w:p>
          <w:p w14:paraId="1D6A9737" w14:textId="77777777" w:rsidR="006523C3" w:rsidRPr="00C046B8" w:rsidRDefault="006523C3" w:rsidP="00DB6AE2">
            <w:pPr>
              <w:numPr>
                <w:ilvl w:val="0"/>
                <w:numId w:val="45"/>
              </w:numPr>
              <w:spacing w:line="259" w:lineRule="auto"/>
              <w:jc w:val="both"/>
              <w:rPr>
                <w:color w:val="000000"/>
                <w:sz w:val="18"/>
                <w:szCs w:val="18"/>
              </w:rPr>
            </w:pPr>
            <w:r w:rsidRPr="00C046B8">
              <w:rPr>
                <w:color w:val="000000"/>
                <w:sz w:val="18"/>
                <w:szCs w:val="18"/>
              </w:rPr>
              <w:t>si la </w:t>
            </w:r>
            <w:hyperlink r:id="rId28" w:anchor="terme_vaccination" w:history="1">
              <w:r w:rsidRPr="00C046B8">
                <w:rPr>
                  <w:rStyle w:val="Lienhypertexte"/>
                  <w:i/>
                  <w:iCs/>
                  <w:color w:val="3094C9"/>
                  <w:sz w:val="18"/>
                  <w:szCs w:val="18"/>
                </w:rPr>
                <w:t>vaccination</w:t>
              </w:r>
            </w:hyperlink>
            <w:r w:rsidRPr="00C046B8">
              <w:rPr>
                <w:color w:val="000000"/>
                <w:sz w:val="18"/>
                <w:szCs w:val="18"/>
              </w:rPr>
              <w:t> est pratiquée dans le cadre d'un </w:t>
            </w:r>
            <w:hyperlink r:id="rId29" w:anchor="terme_programme_officiel_de_prophylaxie" w:history="1">
              <w:r w:rsidRPr="00C046B8">
                <w:rPr>
                  <w:rStyle w:val="Lienhypertexte"/>
                  <w:i/>
                  <w:iCs/>
                  <w:color w:val="3094C9"/>
                  <w:sz w:val="18"/>
                  <w:szCs w:val="18"/>
                </w:rPr>
                <w:t>programme officiel de lutte</w:t>
              </w:r>
            </w:hyperlink>
            <w:r w:rsidRPr="00C046B8">
              <w:rPr>
                <w:color w:val="000000"/>
                <w:sz w:val="18"/>
                <w:szCs w:val="18"/>
              </w:rPr>
              <w:t> contre la fièvre aphteuse, fournir :</w:t>
            </w:r>
          </w:p>
          <w:p w14:paraId="1D37DED1" w14:textId="77777777" w:rsidR="006523C3" w:rsidRPr="00C046B8" w:rsidRDefault="006523C3" w:rsidP="00DB6AE2">
            <w:pPr>
              <w:numPr>
                <w:ilvl w:val="1"/>
                <w:numId w:val="46"/>
              </w:numPr>
              <w:spacing w:line="259" w:lineRule="auto"/>
              <w:jc w:val="both"/>
              <w:rPr>
                <w:color w:val="000000"/>
                <w:sz w:val="18"/>
                <w:szCs w:val="18"/>
              </w:rPr>
            </w:pPr>
            <w:proofErr w:type="gramStart"/>
            <w:r w:rsidRPr="00C046B8">
              <w:rPr>
                <w:color w:val="000000"/>
                <w:sz w:val="18"/>
                <w:szCs w:val="18"/>
              </w:rPr>
              <w:t>des</w:t>
            </w:r>
            <w:proofErr w:type="gramEnd"/>
            <w:r w:rsidRPr="00C046B8">
              <w:rPr>
                <w:color w:val="000000"/>
                <w:sz w:val="18"/>
                <w:szCs w:val="18"/>
              </w:rPr>
              <w:t xml:space="preserve"> éléments, tels que des copies de textes législatifs, démontrant que la </w:t>
            </w:r>
            <w:hyperlink r:id="rId30" w:anchor="terme_vaccination" w:history="1">
              <w:r w:rsidRPr="00C046B8">
                <w:rPr>
                  <w:rStyle w:val="Lienhypertexte"/>
                  <w:i/>
                  <w:iCs/>
                  <w:color w:val="3094C9"/>
                  <w:sz w:val="18"/>
                  <w:szCs w:val="18"/>
                </w:rPr>
                <w:t>vaccination</w:t>
              </w:r>
            </w:hyperlink>
            <w:r w:rsidRPr="00C046B8">
              <w:rPr>
                <w:color w:val="000000"/>
                <w:sz w:val="18"/>
                <w:szCs w:val="18"/>
              </w:rPr>
              <w:t> des populations sélectionnées est obligatoire ;</w:t>
            </w:r>
          </w:p>
          <w:p w14:paraId="036BB67F" w14:textId="77777777" w:rsidR="006523C3" w:rsidRPr="00C046B8" w:rsidRDefault="006523C3" w:rsidP="00DB6AE2">
            <w:pPr>
              <w:numPr>
                <w:ilvl w:val="1"/>
                <w:numId w:val="46"/>
              </w:numPr>
              <w:spacing w:line="259" w:lineRule="auto"/>
              <w:jc w:val="both"/>
              <w:rPr>
                <w:color w:val="000000"/>
                <w:sz w:val="18"/>
                <w:szCs w:val="18"/>
              </w:rPr>
            </w:pPr>
            <w:proofErr w:type="gramStart"/>
            <w:r w:rsidRPr="00C046B8">
              <w:rPr>
                <w:color w:val="000000"/>
                <w:sz w:val="18"/>
                <w:szCs w:val="18"/>
              </w:rPr>
              <w:t>des</w:t>
            </w:r>
            <w:proofErr w:type="gramEnd"/>
            <w:r w:rsidRPr="00C046B8">
              <w:rPr>
                <w:color w:val="000000"/>
                <w:sz w:val="18"/>
                <w:szCs w:val="18"/>
              </w:rPr>
              <w:t xml:space="preserve"> informations détaillées sur les campagnes de </w:t>
            </w:r>
            <w:hyperlink r:id="rId31" w:anchor="terme_vaccination" w:history="1">
              <w:r w:rsidRPr="00C046B8">
                <w:rPr>
                  <w:rStyle w:val="Lienhypertexte"/>
                  <w:i/>
                  <w:iCs/>
                  <w:color w:val="3094C9"/>
                  <w:sz w:val="18"/>
                  <w:szCs w:val="18"/>
                </w:rPr>
                <w:t>vaccination</w:t>
              </w:r>
            </w:hyperlink>
            <w:r w:rsidRPr="00C046B8">
              <w:rPr>
                <w:color w:val="000000"/>
                <w:sz w:val="18"/>
                <w:szCs w:val="18"/>
              </w:rPr>
              <w:t> organisées, visant en particulier :</w:t>
            </w:r>
          </w:p>
          <w:p w14:paraId="5644CCF3" w14:textId="77777777" w:rsidR="006523C3" w:rsidRPr="00C046B8" w:rsidRDefault="006523C3" w:rsidP="00DB6AE2">
            <w:pPr>
              <w:numPr>
                <w:ilvl w:val="2"/>
                <w:numId w:val="46"/>
              </w:numPr>
              <w:spacing w:line="259" w:lineRule="auto"/>
              <w:jc w:val="both"/>
              <w:rPr>
                <w:color w:val="000000"/>
                <w:sz w:val="18"/>
                <w:szCs w:val="18"/>
              </w:rPr>
            </w:pPr>
            <w:proofErr w:type="gramStart"/>
            <w:r w:rsidRPr="00C046B8">
              <w:rPr>
                <w:color w:val="000000"/>
                <w:sz w:val="18"/>
                <w:szCs w:val="18"/>
              </w:rPr>
              <w:t>les</w:t>
            </w:r>
            <w:proofErr w:type="gramEnd"/>
            <w:r w:rsidRPr="00C046B8">
              <w:rPr>
                <w:color w:val="000000"/>
                <w:sz w:val="18"/>
                <w:szCs w:val="18"/>
              </w:rPr>
              <w:t xml:space="preserve"> populations ciblées par la </w:t>
            </w:r>
            <w:hyperlink r:id="rId32" w:anchor="terme_vaccination" w:history="1">
              <w:r w:rsidRPr="00C046B8">
                <w:rPr>
                  <w:rStyle w:val="Lienhypertexte"/>
                  <w:i/>
                  <w:iCs/>
                  <w:color w:val="3094C9"/>
                  <w:sz w:val="18"/>
                  <w:szCs w:val="18"/>
                </w:rPr>
                <w:t>vaccination</w:t>
              </w:r>
            </w:hyperlink>
            <w:r w:rsidRPr="00C046B8">
              <w:rPr>
                <w:color w:val="000000"/>
                <w:sz w:val="18"/>
                <w:szCs w:val="18"/>
              </w:rPr>
              <w:t> ;</w:t>
            </w:r>
          </w:p>
          <w:p w14:paraId="28776391" w14:textId="77777777" w:rsidR="006523C3" w:rsidRPr="00C046B8" w:rsidRDefault="006523C3" w:rsidP="00DB6AE2">
            <w:pPr>
              <w:numPr>
                <w:ilvl w:val="2"/>
                <w:numId w:val="46"/>
              </w:numPr>
              <w:spacing w:line="259" w:lineRule="auto"/>
              <w:jc w:val="both"/>
              <w:rPr>
                <w:color w:val="000000"/>
                <w:sz w:val="18"/>
                <w:szCs w:val="18"/>
              </w:rPr>
            </w:pPr>
            <w:proofErr w:type="gramStart"/>
            <w:r w:rsidRPr="00C046B8">
              <w:rPr>
                <w:color w:val="000000"/>
                <w:sz w:val="18"/>
                <w:szCs w:val="18"/>
              </w:rPr>
              <w:t>le</w:t>
            </w:r>
            <w:proofErr w:type="gramEnd"/>
            <w:r w:rsidRPr="00C046B8">
              <w:rPr>
                <w:color w:val="000000"/>
                <w:sz w:val="18"/>
                <w:szCs w:val="18"/>
              </w:rPr>
              <w:t xml:space="preserve"> suivi de la couverture vaccinale, y compris le suivi sérologique de l'immunité des populations ;</w:t>
            </w:r>
          </w:p>
          <w:p w14:paraId="07336AA0" w14:textId="77777777" w:rsidR="006523C3" w:rsidRPr="00C046B8" w:rsidRDefault="006523C3" w:rsidP="00DB6AE2">
            <w:pPr>
              <w:numPr>
                <w:ilvl w:val="2"/>
                <w:numId w:val="46"/>
              </w:numPr>
              <w:spacing w:line="259" w:lineRule="auto"/>
              <w:jc w:val="both"/>
              <w:rPr>
                <w:color w:val="000000"/>
                <w:sz w:val="18"/>
                <w:szCs w:val="18"/>
              </w:rPr>
            </w:pPr>
            <w:proofErr w:type="gramStart"/>
            <w:r w:rsidRPr="00C046B8">
              <w:rPr>
                <w:color w:val="000000"/>
                <w:sz w:val="18"/>
                <w:szCs w:val="18"/>
              </w:rPr>
              <w:t>les</w:t>
            </w:r>
            <w:proofErr w:type="gramEnd"/>
            <w:r w:rsidRPr="00C046B8">
              <w:rPr>
                <w:color w:val="000000"/>
                <w:sz w:val="18"/>
                <w:szCs w:val="18"/>
              </w:rPr>
              <w:t xml:space="preserve"> spécifications techniques des vaccins utilisés, notamment leur correspondance avec les souches du virus de la fièvre aphteuse en circulation et la description des procédures d'autorisation de vaccins en vigueur ;</w:t>
            </w:r>
          </w:p>
          <w:p w14:paraId="5A8E3166" w14:textId="77777777" w:rsidR="006523C3" w:rsidRPr="00C046B8" w:rsidRDefault="006523C3" w:rsidP="00DB6AE2">
            <w:pPr>
              <w:numPr>
                <w:ilvl w:val="2"/>
                <w:numId w:val="46"/>
              </w:numPr>
              <w:spacing w:line="259" w:lineRule="auto"/>
              <w:jc w:val="both"/>
              <w:rPr>
                <w:color w:val="000000"/>
                <w:sz w:val="18"/>
                <w:szCs w:val="18"/>
              </w:rPr>
            </w:pPr>
            <w:r w:rsidRPr="00C046B8">
              <w:rPr>
                <w:color w:val="000000"/>
                <w:sz w:val="18"/>
                <w:szCs w:val="18"/>
              </w:rPr>
              <w:t>le calendrier proposé pour le passage à l'usage de vaccins respectant totalement les normes et méthodes décrites dans le </w:t>
            </w:r>
            <w:hyperlink r:id="rId33" w:anchor="terme_manuel_terrestre" w:history="1">
              <w:r w:rsidRPr="00C046B8">
                <w:rPr>
                  <w:rStyle w:val="Lienhypertexte"/>
                  <w:i/>
                  <w:iCs/>
                  <w:color w:val="3094C9"/>
                  <w:sz w:val="18"/>
                  <w:szCs w:val="18"/>
                </w:rPr>
                <w:t>Manuel terrestre</w:t>
              </w:r>
            </w:hyperlink>
            <w:r w:rsidRPr="00C046B8">
              <w:rPr>
                <w:color w:val="000000"/>
                <w:sz w:val="18"/>
                <w:szCs w:val="18"/>
              </w:rPr>
              <w:t> ;</w:t>
            </w:r>
          </w:p>
          <w:p w14:paraId="1C09F584" w14:textId="77777777" w:rsidR="006523C3" w:rsidRPr="00C046B8" w:rsidRDefault="006523C3" w:rsidP="00DB6AE2">
            <w:pPr>
              <w:numPr>
                <w:ilvl w:val="0"/>
                <w:numId w:val="46"/>
              </w:numPr>
              <w:spacing w:line="259" w:lineRule="auto"/>
              <w:jc w:val="both"/>
              <w:rPr>
                <w:color w:val="000000"/>
                <w:sz w:val="18"/>
                <w:szCs w:val="18"/>
              </w:rPr>
            </w:pPr>
            <w:r w:rsidRPr="00C046B8">
              <w:rPr>
                <w:color w:val="000000"/>
                <w:sz w:val="18"/>
                <w:szCs w:val="18"/>
              </w:rPr>
              <w:t>présenter un plan de préparation et de réponses aux situations d'urgence à mettre en œuvre en cas de survenue de </w:t>
            </w:r>
            <w:hyperlink r:id="rId34" w:anchor="terme_foyer_de_maladie" w:history="1">
              <w:r w:rsidRPr="00C046B8">
                <w:rPr>
                  <w:rStyle w:val="Lienhypertexte"/>
                  <w:i/>
                  <w:iCs/>
                  <w:color w:val="3094C9"/>
                  <w:sz w:val="18"/>
                  <w:szCs w:val="18"/>
                </w:rPr>
                <w:t>foyers</w:t>
              </w:r>
            </w:hyperlink>
            <w:r w:rsidRPr="00C046B8">
              <w:rPr>
                <w:color w:val="000000"/>
                <w:sz w:val="18"/>
                <w:szCs w:val="18"/>
              </w:rPr>
              <w:t> de fièvre aphteuse.</w:t>
            </w:r>
          </w:p>
          <w:p w14:paraId="451C8C2A" w14:textId="77777777" w:rsidR="006523C3" w:rsidRPr="00C046B8" w:rsidRDefault="006523C3" w:rsidP="00DB6AE2">
            <w:pPr>
              <w:pStyle w:val="style-standard-ouvrage"/>
              <w:spacing w:before="0" w:beforeAutospacing="0" w:after="120" w:afterAutospacing="0"/>
              <w:ind w:left="0"/>
              <w:jc w:val="both"/>
            </w:pPr>
            <w:r w:rsidRPr="00C046B8">
              <w:t>Le </w:t>
            </w:r>
            <w:hyperlink r:id="rId35" w:anchor="terme_programme_officiel_de_prophylaxie" w:history="1">
              <w:r w:rsidRPr="00C046B8">
                <w:rPr>
                  <w:rStyle w:val="Lienhypertexte"/>
                  <w:i/>
                  <w:iCs/>
                  <w:color w:val="3094C9"/>
                </w:rPr>
                <w:t>programme officiel de lutte</w:t>
              </w:r>
            </w:hyperlink>
            <w:r w:rsidRPr="00C046B8">
              <w:t> contre la fièvre aphteuse de l'État membre sera intégré à la liste des programmes validés par l'OIE seulement après acceptation par cette organisation des éléments de preuve présentés sur la base des dispositions prévues à l'article 1.11.5. Son maintien sur la liste requiert la communication d'informations à jour sur les progrès réalisés au regard du </w:t>
            </w:r>
            <w:hyperlink r:id="rId36" w:anchor="terme_programme_officiel_de_prophylaxie" w:history="1">
              <w:r w:rsidRPr="00C046B8">
                <w:rPr>
                  <w:rStyle w:val="Lienhypertexte"/>
                  <w:i/>
                  <w:iCs/>
                  <w:color w:val="3094C9"/>
                </w:rPr>
                <w:t>programme officiel de lutte</w:t>
              </w:r>
            </w:hyperlink>
            <w:r w:rsidRPr="00C046B8">
              <w:t> contre la fièvre aphteuse et sur tout changement significatif concernant les alinéas susmentionnés. Toute évolution de la situation épidémiologique et tout événement sanitaire significatif doivent être portés à la connaissance de l'OIE, conformément aux exigences mentionnées dans le chapitre </w:t>
            </w:r>
            <w:hyperlink r:id="rId37" w:anchor="chapitre_notification" w:history="1">
              <w:r w:rsidRPr="00C046B8">
                <w:rPr>
                  <w:rStyle w:val="Lienhypertexte"/>
                  <w:color w:val="3094C9"/>
                </w:rPr>
                <w:t>1.1.</w:t>
              </w:r>
            </w:hyperlink>
          </w:p>
          <w:p w14:paraId="7339FE79" w14:textId="77777777" w:rsidR="006523C3" w:rsidRPr="00C046B8" w:rsidRDefault="006523C3" w:rsidP="00DB6AE2">
            <w:pPr>
              <w:pStyle w:val="style-standard-ouvrage"/>
              <w:spacing w:before="0" w:beforeAutospacing="0" w:after="120" w:afterAutospacing="0"/>
              <w:ind w:left="0"/>
              <w:jc w:val="both"/>
            </w:pPr>
            <w:r w:rsidRPr="00C046B8">
              <w:t>L'OIE peut revenir sur sa validation si est constatée :</w:t>
            </w:r>
          </w:p>
          <w:p w14:paraId="12E45249" w14:textId="77777777" w:rsidR="006523C3" w:rsidRPr="00C046B8" w:rsidRDefault="006523C3" w:rsidP="00DB6AE2">
            <w:pPr>
              <w:numPr>
                <w:ilvl w:val="0"/>
                <w:numId w:val="47"/>
              </w:numPr>
              <w:spacing w:line="259" w:lineRule="auto"/>
              <w:jc w:val="both"/>
              <w:rPr>
                <w:color w:val="000000"/>
                <w:sz w:val="18"/>
                <w:szCs w:val="18"/>
              </w:rPr>
            </w:pPr>
            <w:proofErr w:type="gramStart"/>
            <w:r w:rsidRPr="00C046B8">
              <w:rPr>
                <w:color w:val="000000"/>
                <w:sz w:val="18"/>
                <w:szCs w:val="18"/>
              </w:rPr>
              <w:t>la</w:t>
            </w:r>
            <w:proofErr w:type="gramEnd"/>
            <w:r w:rsidRPr="00C046B8">
              <w:rPr>
                <w:color w:val="000000"/>
                <w:sz w:val="18"/>
                <w:szCs w:val="18"/>
              </w:rPr>
              <w:t xml:space="preserve"> non-conformité au calendrier du programme ou à ses indicateurs de performance, ou</w:t>
            </w:r>
          </w:p>
          <w:p w14:paraId="5C356467" w14:textId="77777777" w:rsidR="006523C3" w:rsidRPr="00C046B8" w:rsidRDefault="006523C3" w:rsidP="00DB6AE2">
            <w:pPr>
              <w:numPr>
                <w:ilvl w:val="0"/>
                <w:numId w:val="47"/>
              </w:numPr>
              <w:spacing w:line="259" w:lineRule="auto"/>
              <w:jc w:val="both"/>
              <w:rPr>
                <w:color w:val="000000"/>
                <w:sz w:val="18"/>
                <w:szCs w:val="18"/>
              </w:rPr>
            </w:pPr>
            <w:proofErr w:type="gramStart"/>
            <w:r w:rsidRPr="00C046B8">
              <w:rPr>
                <w:color w:val="000000"/>
                <w:sz w:val="18"/>
                <w:szCs w:val="18"/>
              </w:rPr>
              <w:t>la</w:t>
            </w:r>
            <w:proofErr w:type="gramEnd"/>
            <w:r w:rsidRPr="00C046B8">
              <w:rPr>
                <w:color w:val="000000"/>
                <w:sz w:val="18"/>
                <w:szCs w:val="18"/>
              </w:rPr>
              <w:t xml:space="preserve"> survenue d'incidents significatifs liés aux performances des </w:t>
            </w:r>
            <w:hyperlink r:id="rId38" w:anchor="terme_services_veterinaires" w:history="1">
              <w:r w:rsidRPr="00C046B8">
                <w:rPr>
                  <w:rStyle w:val="Lienhypertexte"/>
                  <w:i/>
                  <w:iCs/>
                  <w:color w:val="3094C9"/>
                  <w:sz w:val="18"/>
                  <w:szCs w:val="18"/>
                </w:rPr>
                <w:t>Services vétérinaires</w:t>
              </w:r>
            </w:hyperlink>
            <w:r w:rsidRPr="00C046B8">
              <w:rPr>
                <w:color w:val="000000"/>
                <w:sz w:val="18"/>
                <w:szCs w:val="18"/>
              </w:rPr>
              <w:t>, ou</w:t>
            </w:r>
          </w:p>
          <w:p w14:paraId="0759B1DE" w14:textId="77777777" w:rsidR="00C94C9C" w:rsidRPr="00C94C9C" w:rsidRDefault="006523C3" w:rsidP="00DB6AE2">
            <w:pPr>
              <w:numPr>
                <w:ilvl w:val="0"/>
                <w:numId w:val="47"/>
              </w:numPr>
              <w:spacing w:after="120" w:line="259" w:lineRule="auto"/>
              <w:ind w:left="714" w:hanging="357"/>
              <w:jc w:val="both"/>
              <w:rPr>
                <w:rFonts w:ascii="Arial" w:hAnsi="Arial" w:cs="Arial"/>
                <w:color w:val="000000"/>
                <w:sz w:val="17"/>
                <w:szCs w:val="17"/>
              </w:rPr>
            </w:pPr>
            <w:r w:rsidRPr="004E6B9E">
              <w:rPr>
                <w:sz w:val="18"/>
                <w:szCs w:val="18"/>
                <w:lang w:eastAsia="en-US" w:bidi="ar-SA"/>
              </w:rPr>
              <w:t>une augmentation de l'incidence de la fièvre aphteuse à laquelle le programme ne peut faire face.</w:t>
            </w:r>
          </w:p>
        </w:tc>
      </w:tr>
    </w:tbl>
    <w:p w14:paraId="582C7FA0" w14:textId="77777777" w:rsidR="007E35C3" w:rsidRDefault="007E35C3" w:rsidP="00930E86"/>
    <w:sectPr w:rsidR="007E35C3" w:rsidSect="00121FA4">
      <w:footerReference w:type="default" r:id="rId3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F4CA" w14:textId="77777777" w:rsidR="00C046B8" w:rsidRDefault="00C046B8" w:rsidP="00F64A23">
      <w:r>
        <w:separator/>
      </w:r>
    </w:p>
  </w:endnote>
  <w:endnote w:type="continuationSeparator" w:id="0">
    <w:p w14:paraId="5EBD21CA" w14:textId="77777777" w:rsidR="00C046B8" w:rsidRDefault="00C046B8" w:rsidP="00F64A23">
      <w:r>
        <w:continuationSeparator/>
      </w:r>
    </w:p>
  </w:endnote>
  <w:endnote w:type="continuationNotice" w:id="1">
    <w:p w14:paraId="05632F4B" w14:textId="77777777" w:rsidR="00C046B8" w:rsidRDefault="00C0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7DD2" w14:textId="30A18FA2" w:rsidR="00BD3BB9" w:rsidRPr="00692C10" w:rsidRDefault="00930E86" w:rsidP="00F64A23">
    <w:pPr>
      <w:pStyle w:val="Pieddepage"/>
      <w:rPr>
        <w:rFonts w:eastAsia="Malgun Gothic"/>
      </w:rPr>
    </w:pPr>
    <w:r>
      <w:rPr>
        <w:sz w:val="18"/>
      </w:rPr>
      <w:t xml:space="preserve">2020 </w:t>
    </w:r>
    <w:r w:rsidR="00380953">
      <w:rPr>
        <w:sz w:val="18"/>
      </w:rPr>
      <w:t xml:space="preserve">Formulaire </w:t>
    </w:r>
    <w:r>
      <w:rPr>
        <w:sz w:val="18"/>
      </w:rPr>
      <w:t>pour</w:t>
    </w:r>
    <w:r w:rsidR="00380953">
      <w:rPr>
        <w:sz w:val="18"/>
      </w:rPr>
      <w:t xml:space="preserve"> la reconfirmation annuelle de la validation des programmes officiels de contrôle de la fièvre aphteuse</w:t>
    </w:r>
    <w:r>
      <w:rPr>
        <w:sz w:val="18"/>
      </w:rPr>
      <w:tab/>
    </w:r>
    <w:r w:rsidRPr="00930E86">
      <w:rPr>
        <w:sz w:val="18"/>
      </w:rPr>
      <w:fldChar w:fldCharType="begin"/>
    </w:r>
    <w:r w:rsidRPr="00930E86">
      <w:rPr>
        <w:sz w:val="18"/>
      </w:rPr>
      <w:instrText>PAGE   \* MERGEFORMAT</w:instrText>
    </w:r>
    <w:r w:rsidRPr="00930E86">
      <w:rPr>
        <w:sz w:val="18"/>
      </w:rPr>
      <w:fldChar w:fldCharType="separate"/>
    </w:r>
    <w:r w:rsidRPr="00930E86">
      <w:rPr>
        <w:sz w:val="18"/>
      </w:rPr>
      <w:t>1</w:t>
    </w:r>
    <w:r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05A7" w14:textId="77777777" w:rsidR="00C046B8" w:rsidRDefault="00C046B8" w:rsidP="00F64A23">
      <w:r>
        <w:separator/>
      </w:r>
    </w:p>
  </w:footnote>
  <w:footnote w:type="continuationSeparator" w:id="0">
    <w:p w14:paraId="6584E260" w14:textId="77777777" w:rsidR="00C046B8" w:rsidRDefault="00C046B8" w:rsidP="00F64A23">
      <w:r>
        <w:continuationSeparator/>
      </w:r>
    </w:p>
  </w:footnote>
  <w:footnote w:type="continuationNotice" w:id="1">
    <w:p w14:paraId="70A833AC" w14:textId="77777777" w:rsidR="00C046B8" w:rsidRDefault="00C04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24182"/>
    <w:multiLevelType w:val="multilevel"/>
    <w:tmpl w:val="A5B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A0D0EC7"/>
    <w:multiLevelType w:val="multilevel"/>
    <w:tmpl w:val="AA4227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B93191"/>
    <w:multiLevelType w:val="multilevel"/>
    <w:tmpl w:val="AC3C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A6DCA"/>
    <w:multiLevelType w:val="multilevel"/>
    <w:tmpl w:val="36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359A5"/>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C2A4C"/>
    <w:multiLevelType w:val="multilevel"/>
    <w:tmpl w:val="D99A81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6BA1C46"/>
    <w:multiLevelType w:val="multilevel"/>
    <w:tmpl w:val="AD12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BF519D"/>
    <w:multiLevelType w:val="hybridMultilevel"/>
    <w:tmpl w:val="A0242C6A"/>
    <w:lvl w:ilvl="0" w:tplc="5D2CD4C2">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1"/>
  </w:num>
  <w:num w:numId="3">
    <w:abstractNumId w:val="1"/>
  </w:num>
  <w:num w:numId="4">
    <w:abstractNumId w:val="5"/>
  </w:num>
  <w:num w:numId="5">
    <w:abstractNumId w:val="25"/>
  </w:num>
  <w:num w:numId="6">
    <w:abstractNumId w:val="19"/>
  </w:num>
  <w:num w:numId="7">
    <w:abstractNumId w:val="15"/>
  </w:num>
  <w:num w:numId="8">
    <w:abstractNumId w:val="6"/>
  </w:num>
  <w:num w:numId="9">
    <w:abstractNumId w:val="24"/>
  </w:num>
  <w:num w:numId="10">
    <w:abstractNumId w:val="22"/>
  </w:num>
  <w:num w:numId="11">
    <w:abstractNumId w:val="33"/>
  </w:num>
  <w:num w:numId="12">
    <w:abstractNumId w:val="8"/>
  </w:num>
  <w:num w:numId="13">
    <w:abstractNumId w:val="18"/>
  </w:num>
  <w:num w:numId="14">
    <w:abstractNumId w:val="16"/>
  </w:num>
  <w:num w:numId="15">
    <w:abstractNumId w:val="0"/>
  </w:num>
  <w:num w:numId="16">
    <w:abstractNumId w:val="9"/>
  </w:num>
  <w:num w:numId="17">
    <w:abstractNumId w:val="4"/>
  </w:num>
  <w:num w:numId="18">
    <w:abstractNumId w:val="13"/>
  </w:num>
  <w:num w:numId="19">
    <w:abstractNumId w:val="31"/>
  </w:num>
  <w:num w:numId="20">
    <w:abstractNumId w:val="14"/>
  </w:num>
  <w:num w:numId="21">
    <w:abstractNumId w:val="29"/>
  </w:num>
  <w:num w:numId="22">
    <w:abstractNumId w:val="32"/>
  </w:num>
  <w:num w:numId="23">
    <w:abstractNumId w:val="20"/>
  </w:num>
  <w:num w:numId="24">
    <w:abstractNumId w:val="2"/>
  </w:num>
  <w:num w:numId="25">
    <w:abstractNumId w:val="30"/>
  </w:num>
  <w:num w:numId="26">
    <w:abstractNumId w:val="30"/>
  </w:num>
  <w:num w:numId="27">
    <w:abstractNumId w:val="30"/>
  </w:num>
  <w:num w:numId="28">
    <w:abstractNumId w:val="35"/>
  </w:num>
  <w:num w:numId="29">
    <w:abstractNumId w:val="10"/>
  </w:num>
  <w:num w:numId="30">
    <w:abstractNumId w:val="10"/>
  </w:num>
  <w:num w:numId="31">
    <w:abstractNumId w:val="10"/>
  </w:num>
  <w:num w:numId="32">
    <w:abstractNumId w:val="11"/>
  </w:num>
  <w:num w:numId="33">
    <w:abstractNumId w:val="23"/>
  </w:num>
  <w:num w:numId="34">
    <w:abstractNumId w:val="12"/>
  </w:num>
  <w:num w:numId="35">
    <w:abstractNumId w:val="12"/>
  </w:num>
  <w:num w:numId="36">
    <w:abstractNumId w:val="3"/>
  </w:num>
  <w:num w:numId="37">
    <w:abstractNumId w:val="7"/>
  </w:num>
  <w:num w:numId="38">
    <w:abstractNumId w:val="7"/>
  </w:num>
  <w:num w:numId="39">
    <w:abstractNumId w:val="7"/>
  </w:num>
  <w:num w:numId="40">
    <w:abstractNumId w:val="7"/>
  </w:num>
  <w:num w:numId="41">
    <w:abstractNumId w:val="28"/>
  </w:num>
  <w:num w:numId="42">
    <w:abstractNumId w:val="27"/>
  </w:num>
  <w:num w:numId="43">
    <w:abstractNumId w:val="17"/>
  </w:num>
  <w:num w:numId="44">
    <w:abstractNumId w:val="17"/>
  </w:num>
  <w:num w:numId="45">
    <w:abstractNumId w:val="17"/>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6D84"/>
    <w:rsid w:val="000B0405"/>
    <w:rsid w:val="000B0755"/>
    <w:rsid w:val="000B4561"/>
    <w:rsid w:val="000C1796"/>
    <w:rsid w:val="000D2C29"/>
    <w:rsid w:val="000D43FA"/>
    <w:rsid w:val="000E52E2"/>
    <w:rsid w:val="00101599"/>
    <w:rsid w:val="0010377D"/>
    <w:rsid w:val="0011161B"/>
    <w:rsid w:val="00116347"/>
    <w:rsid w:val="001164DA"/>
    <w:rsid w:val="00121FA4"/>
    <w:rsid w:val="0012562A"/>
    <w:rsid w:val="00137EFF"/>
    <w:rsid w:val="001420E2"/>
    <w:rsid w:val="00164A5B"/>
    <w:rsid w:val="00166D1B"/>
    <w:rsid w:val="00166FE9"/>
    <w:rsid w:val="0017100B"/>
    <w:rsid w:val="001729EA"/>
    <w:rsid w:val="00185BE4"/>
    <w:rsid w:val="001941D7"/>
    <w:rsid w:val="00194E89"/>
    <w:rsid w:val="001961B5"/>
    <w:rsid w:val="001A0F00"/>
    <w:rsid w:val="001A6CAF"/>
    <w:rsid w:val="001B22D5"/>
    <w:rsid w:val="001B3084"/>
    <w:rsid w:val="001B3767"/>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813DA"/>
    <w:rsid w:val="00282080"/>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AFA"/>
    <w:rsid w:val="0061683B"/>
    <w:rsid w:val="00620EE2"/>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D19D2"/>
    <w:rsid w:val="008D4462"/>
    <w:rsid w:val="008E4C0F"/>
    <w:rsid w:val="008E4DF1"/>
    <w:rsid w:val="008F51DF"/>
    <w:rsid w:val="008F7393"/>
    <w:rsid w:val="00905588"/>
    <w:rsid w:val="00910857"/>
    <w:rsid w:val="0092405B"/>
    <w:rsid w:val="00925D59"/>
    <w:rsid w:val="00930E86"/>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10D35"/>
    <w:rsid w:val="00A22271"/>
    <w:rsid w:val="00A33325"/>
    <w:rsid w:val="00A4510F"/>
    <w:rsid w:val="00A45AB9"/>
    <w:rsid w:val="00A73875"/>
    <w:rsid w:val="00A91B10"/>
    <w:rsid w:val="00A9526A"/>
    <w:rsid w:val="00A976AA"/>
    <w:rsid w:val="00AA34B8"/>
    <w:rsid w:val="00AB67D2"/>
    <w:rsid w:val="00AD43E7"/>
    <w:rsid w:val="00AE0C9D"/>
    <w:rsid w:val="00B143A1"/>
    <w:rsid w:val="00B27A09"/>
    <w:rsid w:val="00B334FE"/>
    <w:rsid w:val="00B3764A"/>
    <w:rsid w:val="00B476D3"/>
    <w:rsid w:val="00B55466"/>
    <w:rsid w:val="00B60489"/>
    <w:rsid w:val="00B62E39"/>
    <w:rsid w:val="00B7491B"/>
    <w:rsid w:val="00B934F6"/>
    <w:rsid w:val="00B95707"/>
    <w:rsid w:val="00BA4CF0"/>
    <w:rsid w:val="00BA55E0"/>
    <w:rsid w:val="00BC3490"/>
    <w:rsid w:val="00BC6204"/>
    <w:rsid w:val="00BD3BB9"/>
    <w:rsid w:val="00BD5210"/>
    <w:rsid w:val="00BF5300"/>
    <w:rsid w:val="00BF5C37"/>
    <w:rsid w:val="00BF6894"/>
    <w:rsid w:val="00C046B8"/>
    <w:rsid w:val="00C1377C"/>
    <w:rsid w:val="00C32CC8"/>
    <w:rsid w:val="00C33796"/>
    <w:rsid w:val="00C43057"/>
    <w:rsid w:val="00C436F8"/>
    <w:rsid w:val="00C50BC3"/>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C4233"/>
    <w:rsid w:val="00EC5B2C"/>
    <w:rsid w:val="00ED0BD0"/>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5501"/>
    <w:rsid w:val="00FA67A9"/>
    <w:rsid w:val="00FB4DEC"/>
    <w:rsid w:val="00FC7AE4"/>
    <w:rsid w:val="00FD2232"/>
    <w:rsid w:val="00FD2552"/>
    <w:rsid w:val="00FE05C1"/>
    <w:rsid w:val="00FE232B"/>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chapitre_surveillance_general.htm" TargetMode="External"/><Relationship Id="rId39" Type="http://schemas.openxmlformats.org/officeDocument/2006/relationships/footer" Target="footer1.xml"/><Relationship Id="rId21"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glossaire.htm" TargetMode="External"/><Relationship Id="rId29" Type="http://schemas.openxmlformats.org/officeDocument/2006/relationships/hyperlink" Target="http://www.oie.int/index.php?id=169&amp;L=1&amp;htmfile=glossair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37" Type="http://schemas.openxmlformats.org/officeDocument/2006/relationships/hyperlink" Target="http://www.oie.int/index.php?id=169&amp;L=1&amp;htmfile=chapitre_notification.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chapitre_notification.htm" TargetMode="External"/><Relationship Id="rId25" Type="http://schemas.openxmlformats.org/officeDocument/2006/relationships/hyperlink" Target="http://www.oie.int/index.php?id=169&amp;L=1&amp;htmfile=glossair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customXml/itemProps2.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1868</Words>
  <Characters>10279</Characters>
  <Application>Microsoft Office Word</Application>
  <DocSecurity>0</DocSecurity>
  <Lines>85</Lines>
  <Paragraphs>24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12123</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2014-08-28T12:23:00Z</cp:lastPrinted>
  <dcterms:created xsi:type="dcterms:W3CDTF">2020-10-19T12:17:00Z</dcterms:created>
  <dcterms:modified xsi:type="dcterms:W3CDTF">2020-10-19T12:17:00Z</dcterms:modified>
</cp:coreProperties>
</file>