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412" w14:textId="7F94F65E" w:rsidR="00BA7EF8" w:rsidRDefault="00BA7EF8" w:rsidP="00354508">
      <w:pPr>
        <w:pStyle w:val="Titre"/>
        <w:spacing w:after="240"/>
      </w:pPr>
      <w:bookmarkStart w:id="0" w:name="eltqToC"/>
      <w:bookmarkStart w:id="1" w:name="_Toc180987569"/>
    </w:p>
    <w:p w14:paraId="10BC6D76" w14:textId="27BFFE58" w:rsidR="00983835" w:rsidRDefault="00983835" w:rsidP="00983835">
      <w:pPr>
        <w:pStyle w:val="SubTitle1"/>
      </w:pPr>
    </w:p>
    <w:p w14:paraId="0B8D2B79" w14:textId="41C96898" w:rsidR="00983835" w:rsidRDefault="00983835" w:rsidP="00983835"/>
    <w:p w14:paraId="66BE6C6D" w14:textId="3252904D" w:rsidR="00983835" w:rsidRDefault="00983835" w:rsidP="00983835"/>
    <w:p w14:paraId="2476B9BC" w14:textId="79C01A04" w:rsidR="00983835" w:rsidRDefault="00983835" w:rsidP="00983835"/>
    <w:p w14:paraId="59B2F88C" w14:textId="41F5FEAE" w:rsidR="00983835" w:rsidRDefault="00983835" w:rsidP="00983835"/>
    <w:p w14:paraId="153841AA" w14:textId="2A3BD22D" w:rsidR="00983835" w:rsidRDefault="00983835" w:rsidP="00983835"/>
    <w:p w14:paraId="53FAE3C2" w14:textId="77777777" w:rsidR="00983835" w:rsidRPr="00CE6776" w:rsidRDefault="00983835" w:rsidP="00CE6776"/>
    <w:p w14:paraId="5378AFAF" w14:textId="554CC36D" w:rsidR="00354508" w:rsidRDefault="00354508" w:rsidP="00354508">
      <w:pPr>
        <w:pStyle w:val="Titre"/>
        <w:spacing w:after="240"/>
      </w:pPr>
      <w:r w:rsidRPr="0066499A">
        <w:t>Call for Expression of Interest</w:t>
      </w:r>
    </w:p>
    <w:p w14:paraId="2646ABC7" w14:textId="77777777" w:rsidR="00BA7EF8" w:rsidRDefault="00BA7EF8" w:rsidP="00C611A2">
      <w:pPr>
        <w:pStyle w:val="Texte"/>
        <w:spacing w:after="0" w:line="240" w:lineRule="auto"/>
        <w:jc w:val="center"/>
        <w:rPr>
          <w:b/>
          <w:smallCaps/>
          <w:sz w:val="36"/>
          <w:szCs w:val="40"/>
        </w:rPr>
      </w:pPr>
    </w:p>
    <w:p w14:paraId="17C9F175" w14:textId="4B9D5928" w:rsidR="00C611A2" w:rsidRPr="00CE6776" w:rsidRDefault="00044FD3" w:rsidP="00C611A2">
      <w:pPr>
        <w:pStyle w:val="Texte"/>
        <w:spacing w:after="0" w:line="240" w:lineRule="auto"/>
        <w:jc w:val="center"/>
        <w:rPr>
          <w:b/>
          <w:smallCaps/>
          <w:sz w:val="36"/>
          <w:szCs w:val="40"/>
        </w:rPr>
      </w:pPr>
      <w:r w:rsidRPr="00044FD3">
        <w:rPr>
          <w:b/>
          <w:smallCaps/>
          <w:sz w:val="36"/>
          <w:szCs w:val="40"/>
        </w:rPr>
        <w:t>AMR Monitoring and Evaluation Needs Assessment Consultant</w:t>
      </w:r>
      <w:r w:rsidRPr="00044FD3" w:rsidDel="00044FD3">
        <w:rPr>
          <w:b/>
          <w:smallCaps/>
          <w:sz w:val="36"/>
          <w:szCs w:val="40"/>
        </w:rPr>
        <w:t xml:space="preserve"> </w:t>
      </w:r>
    </w:p>
    <w:p w14:paraId="1582085B" w14:textId="63C8CE45" w:rsidR="00C611A2" w:rsidRDefault="00C611A2" w:rsidP="00C611A2">
      <w:pPr>
        <w:pStyle w:val="SubTitle1"/>
      </w:pPr>
    </w:p>
    <w:p w14:paraId="299E0ED9" w14:textId="3065631A" w:rsidR="00F81607" w:rsidRPr="00CE6776" w:rsidRDefault="00F81607" w:rsidP="00CE6776">
      <w:pPr>
        <w:jc w:val="center"/>
      </w:pPr>
      <w:r w:rsidRPr="00CE6776">
        <w:rPr>
          <w:rFonts w:ascii="Arial" w:hAnsi="Arial" w:cs="Arial"/>
          <w:b/>
          <w:smallCaps/>
          <w:sz w:val="36"/>
          <w:szCs w:val="40"/>
        </w:rPr>
        <w:t xml:space="preserve">Annex </w:t>
      </w:r>
      <w:r w:rsidR="00044FD3">
        <w:rPr>
          <w:rFonts w:ascii="Arial" w:hAnsi="Arial" w:cs="Arial"/>
          <w:b/>
          <w:smallCaps/>
          <w:sz w:val="36"/>
          <w:szCs w:val="40"/>
        </w:rPr>
        <w:t>2</w:t>
      </w:r>
      <w:r>
        <w:rPr>
          <w:rFonts w:ascii="Arial" w:hAnsi="Arial" w:cs="Arial"/>
          <w:b/>
          <w:smallCaps/>
          <w:sz w:val="36"/>
          <w:szCs w:val="40"/>
        </w:rPr>
        <w:br/>
      </w:r>
      <w:r w:rsidRPr="00CE6776">
        <w:rPr>
          <w:rFonts w:ascii="Arial" w:hAnsi="Arial" w:cs="Arial"/>
          <w:b/>
          <w:smallCaps/>
          <w:sz w:val="36"/>
          <w:szCs w:val="40"/>
        </w:rPr>
        <w:t>(to be returned as Financial offer)</w:t>
      </w:r>
    </w:p>
    <w:p w14:paraId="3D1CE0CA" w14:textId="17E87D94" w:rsidR="00F81607" w:rsidRDefault="00F81607" w:rsidP="00F81607"/>
    <w:p w14:paraId="30885B41" w14:textId="52C422F0" w:rsidR="00F81607" w:rsidRPr="00CE6776" w:rsidRDefault="00F81607" w:rsidP="00CE6776"/>
    <w:p w14:paraId="023B92EB" w14:textId="427FE0C4" w:rsidR="00BA7EF8" w:rsidRDefault="00BA7EF8" w:rsidP="00BA7EF8"/>
    <w:p w14:paraId="3EDE9D2A" w14:textId="7D403C8E" w:rsidR="00BA7EF8" w:rsidRDefault="00BA7EF8" w:rsidP="00BA7EF8"/>
    <w:p w14:paraId="13980119" w14:textId="496EC837" w:rsidR="00BA7EF8" w:rsidRDefault="00BA7EF8" w:rsidP="00BA7EF8"/>
    <w:p w14:paraId="3A03BF4C" w14:textId="3CCE8DDE" w:rsidR="00BA7EF8" w:rsidRDefault="00BA7EF8" w:rsidP="00BA7EF8"/>
    <w:p w14:paraId="5B254D85" w14:textId="77777777" w:rsidR="00BA7EF8" w:rsidRPr="00CE6776" w:rsidRDefault="00BA7EF8" w:rsidP="00CE6776"/>
    <w:p w14:paraId="3C644444" w14:textId="77777777" w:rsidR="00983835" w:rsidRDefault="00983835" w:rsidP="0066499A">
      <w:pPr>
        <w:pStyle w:val="Texte"/>
      </w:pPr>
    </w:p>
    <w:p w14:paraId="0A59F2A3" w14:textId="77777777" w:rsidR="00983835" w:rsidRDefault="00983835">
      <w:pPr>
        <w:spacing w:after="0"/>
        <w:jc w:val="left"/>
        <w:rPr>
          <w:rFonts w:ascii="Arial" w:hAnsi="Arial" w:cs="Arial"/>
          <w:sz w:val="20"/>
          <w:szCs w:val="22"/>
        </w:rPr>
      </w:pPr>
      <w:r>
        <w:br w:type="page"/>
      </w:r>
    </w:p>
    <w:bookmarkEnd w:id="0"/>
    <w:bookmarkEnd w:id="1"/>
    <w:p w14:paraId="0C2C21A2" w14:textId="2216BA2D" w:rsidR="00C83F53" w:rsidRDefault="00FB0E16" w:rsidP="006F18A8">
      <w:pPr>
        <w:pStyle w:val="Texte"/>
        <w:rPr>
          <w:b/>
          <w:bCs/>
          <w:sz w:val="28"/>
          <w:szCs w:val="32"/>
        </w:rPr>
      </w:pPr>
      <w:r w:rsidRPr="00CE6776">
        <w:rPr>
          <w:b/>
          <w:bCs/>
          <w:sz w:val="28"/>
          <w:szCs w:val="32"/>
        </w:rPr>
        <w:lastRenderedPageBreak/>
        <w:t>Currency</w:t>
      </w:r>
      <w:r w:rsidR="00F5536B" w:rsidRPr="00CE6776">
        <w:rPr>
          <w:rStyle w:val="Appelnotedebasdep"/>
          <w:b/>
          <w:bCs/>
          <w:color w:val="FF0000"/>
          <w:sz w:val="28"/>
          <w:szCs w:val="32"/>
        </w:rPr>
        <w:footnoteReference w:id="2"/>
      </w:r>
      <w:r w:rsidR="00DF1E55" w:rsidRPr="00CE6776">
        <w:rPr>
          <w:b/>
          <w:bCs/>
          <w:sz w:val="28"/>
          <w:szCs w:val="32"/>
        </w:rPr>
        <w:t xml:space="preserve"> </w:t>
      </w:r>
      <w:r w:rsidRPr="00CE6776">
        <w:rPr>
          <w:b/>
          <w:bCs/>
          <w:sz w:val="28"/>
          <w:szCs w:val="32"/>
        </w:rPr>
        <w:t xml:space="preserve">: </w:t>
      </w:r>
      <w:r w:rsidR="004F4FB8" w:rsidRPr="00CE6776">
        <w:rPr>
          <w:b/>
          <w:bCs/>
          <w:sz w:val="28"/>
          <w:szCs w:val="32"/>
        </w:rPr>
        <w:t>…………………………………………</w:t>
      </w:r>
    </w:p>
    <w:p w14:paraId="5CF103AC" w14:textId="77777777" w:rsidR="003446A2" w:rsidRPr="00CE6776" w:rsidRDefault="003446A2" w:rsidP="006F18A8">
      <w:pPr>
        <w:pStyle w:val="Texte"/>
        <w:rPr>
          <w:b/>
          <w:bCs/>
          <w:sz w:val="28"/>
          <w:szCs w:val="32"/>
        </w:rPr>
      </w:pPr>
    </w:p>
    <w:tbl>
      <w:tblPr>
        <w:tblpPr w:leftFromText="141" w:rightFromText="141" w:vertAnchor="text" w:horzAnchor="margin" w:tblpXSpec="center" w:tblpY="328"/>
        <w:tblW w:w="10574" w:type="dxa"/>
        <w:tblLook w:val="04A0" w:firstRow="1" w:lastRow="0" w:firstColumn="1" w:lastColumn="0" w:noHBand="0" w:noVBand="1"/>
      </w:tblPr>
      <w:tblGrid>
        <w:gridCol w:w="5799"/>
        <w:gridCol w:w="2558"/>
        <w:gridCol w:w="2217"/>
      </w:tblGrid>
      <w:tr w:rsidR="007E2D5C" w:rsidRPr="00F065D1" w14:paraId="0F5ED2DA" w14:textId="77777777" w:rsidTr="007E2D5C">
        <w:trPr>
          <w:trHeight w:val="288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37ABA" w14:textId="77777777" w:rsidR="007E2D5C" w:rsidRPr="00F065D1" w:rsidRDefault="007E2D5C" w:rsidP="007E2D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Deliverables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2B41" w14:textId="77777777" w:rsidR="007E2D5C" w:rsidRPr="00F065D1" w:rsidRDefault="007E2D5C" w:rsidP="007E2D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Unit day(s)</w:t>
            </w:r>
            <w:r w:rsidRPr="00F065D1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035DA" w14:textId="77777777" w:rsidR="007E2D5C" w:rsidRPr="00F065D1" w:rsidRDefault="007E2D5C" w:rsidP="007E2D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Cost </w:t>
            </w:r>
          </w:p>
        </w:tc>
      </w:tr>
      <w:tr w:rsidR="007E2D5C" w:rsidRPr="00A2173F" w14:paraId="59717738" w14:textId="77777777" w:rsidTr="003446A2">
        <w:trPr>
          <w:trHeight w:val="288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A2D4" w14:textId="53B60B91" w:rsidR="007E2D5C" w:rsidRPr="00725E82" w:rsidRDefault="00725E82" w:rsidP="003446A2">
            <w:pPr>
              <w:pStyle w:val="Texte"/>
            </w:pPr>
            <w:r w:rsidRPr="00BF5E2C">
              <w:rPr>
                <w:szCs w:val="20"/>
              </w:rPr>
              <w:t>Eleven (11) validated countr</w:t>
            </w:r>
            <w:r w:rsidR="00843AC1">
              <w:rPr>
                <w:szCs w:val="20"/>
              </w:rPr>
              <w:t>ies</w:t>
            </w:r>
            <w:r w:rsidRPr="00BF5E2C">
              <w:rPr>
                <w:szCs w:val="20"/>
              </w:rPr>
              <w:t xml:space="preserve"> specific needs assessment reports.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A7C2" w14:textId="77777777" w:rsidR="001508A6" w:rsidRDefault="001508A6" w:rsidP="001508A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7CD439B5" w14:textId="77777777" w:rsidR="001508A6" w:rsidRDefault="001508A6" w:rsidP="001508A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5878F3B3" w14:textId="621C902F" w:rsidR="007E2D5C" w:rsidRPr="003446A2" w:rsidRDefault="00725E82" w:rsidP="001508A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eastAsia="en-GB"/>
              </w:rPr>
            </w:pPr>
            <w:r w:rsidRPr="003446A2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eastAsia="en-GB"/>
              </w:rPr>
              <w:t>…</w:t>
            </w:r>
          </w:p>
          <w:p w14:paraId="37341313" w14:textId="700550CE" w:rsidR="001508A6" w:rsidRDefault="001508A6" w:rsidP="001508A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16F9E42D" w14:textId="77777777" w:rsidR="001508A6" w:rsidRPr="003446A2" w:rsidRDefault="001508A6" w:rsidP="001508A6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76326A3E" w14:textId="4043E7C4" w:rsidR="00A759E5" w:rsidRPr="003446A2" w:rsidRDefault="00A759E5" w:rsidP="001508A6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lang w:eastAsia="en-GB"/>
              </w:rPr>
            </w:pPr>
            <w:r w:rsidRPr="003446A2"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eastAsia="en-GB"/>
              </w:rPr>
              <w:t xml:space="preserve">Bidders should indicate the </w:t>
            </w:r>
            <w:r w:rsidR="00C5631D" w:rsidRPr="003446A2"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eastAsia="en-GB"/>
              </w:rPr>
              <w:t xml:space="preserve">number of days necessary to </w:t>
            </w:r>
            <w:r w:rsidR="00F2641B" w:rsidRPr="003446A2"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eastAsia="en-GB"/>
              </w:rPr>
              <w:t>perform the service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BD2D8F" w14:textId="77777777" w:rsidR="001508A6" w:rsidRDefault="001508A6" w:rsidP="007E2D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54FB51F4" w14:textId="77777777" w:rsidR="001508A6" w:rsidRDefault="001508A6" w:rsidP="007E2D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177641A0" w14:textId="105982CB" w:rsidR="007E2D5C" w:rsidRPr="003446A2" w:rsidRDefault="007E2D5C" w:rsidP="007E2D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eastAsia="en-GB"/>
              </w:rPr>
            </w:pPr>
            <w:r w:rsidRPr="003446A2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eastAsia="en-GB"/>
              </w:rPr>
              <w:t>…</w:t>
            </w:r>
          </w:p>
          <w:p w14:paraId="26044C19" w14:textId="77777777" w:rsidR="00164AF8" w:rsidRDefault="00164AF8" w:rsidP="007E2D5C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eastAsia="en-GB"/>
              </w:rPr>
            </w:pPr>
          </w:p>
          <w:p w14:paraId="7AFB92F5" w14:textId="77777777" w:rsidR="00164AF8" w:rsidRDefault="00164AF8" w:rsidP="007E2D5C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eastAsia="en-GB"/>
              </w:rPr>
            </w:pPr>
          </w:p>
          <w:p w14:paraId="0722B474" w14:textId="2DC1B2F8" w:rsidR="002606F1" w:rsidRPr="003446A2" w:rsidRDefault="002606F1" w:rsidP="007E2D5C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3446A2"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eastAsia="en-GB"/>
              </w:rPr>
              <w:t>covering the professional fee of the consultant</w:t>
            </w:r>
          </w:p>
        </w:tc>
      </w:tr>
      <w:tr w:rsidR="007E2D5C" w:rsidRPr="00A2173F" w14:paraId="4C8F1EC1" w14:textId="77777777" w:rsidTr="003446A2">
        <w:trPr>
          <w:trHeight w:val="288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7835" w14:textId="39C57020" w:rsidR="007E2D5C" w:rsidRPr="00A759E5" w:rsidRDefault="00A759E5" w:rsidP="003446A2">
            <w:pPr>
              <w:pStyle w:val="Texte"/>
            </w:pPr>
            <w:r w:rsidRPr="00BF5E2C">
              <w:rPr>
                <w:szCs w:val="20"/>
              </w:rPr>
              <w:t>One (1) needs assessment guidance document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E8BA" w14:textId="77777777" w:rsidR="00164AF8" w:rsidRDefault="00164AF8" w:rsidP="007E2D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eastAsia="en-GB"/>
              </w:rPr>
            </w:pPr>
          </w:p>
          <w:p w14:paraId="01A381D0" w14:textId="77777777" w:rsidR="00164AF8" w:rsidRDefault="00164AF8" w:rsidP="007E2D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eastAsia="en-GB"/>
              </w:rPr>
            </w:pPr>
          </w:p>
          <w:p w14:paraId="57897F35" w14:textId="13716E5C" w:rsidR="007E2D5C" w:rsidRPr="003446A2" w:rsidRDefault="00A759E5" w:rsidP="007E2D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eastAsia="en-GB"/>
              </w:rPr>
            </w:pPr>
            <w:r w:rsidRPr="003446A2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eastAsia="en-GB"/>
              </w:rPr>
              <w:t>…</w:t>
            </w:r>
          </w:p>
          <w:p w14:paraId="5DB1A40D" w14:textId="77777777" w:rsidR="00164AF8" w:rsidRDefault="00164AF8" w:rsidP="007E2D5C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eastAsia="en-GB"/>
              </w:rPr>
            </w:pPr>
          </w:p>
          <w:p w14:paraId="4D83DC68" w14:textId="77777777" w:rsidR="00164AF8" w:rsidRDefault="00164AF8" w:rsidP="007E2D5C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eastAsia="en-GB"/>
              </w:rPr>
            </w:pPr>
          </w:p>
          <w:p w14:paraId="60CB736D" w14:textId="60FC638C" w:rsidR="00F2641B" w:rsidRDefault="00F2641B" w:rsidP="007E2D5C">
            <w:pPr>
              <w:spacing w:after="0"/>
              <w:jc w:val="center"/>
              <w:rPr>
                <w:rFonts w:ascii="Arial" w:hAnsi="Arial" w:cs="Arial"/>
                <w:color w:val="000000"/>
                <w:lang w:eastAsia="en-GB"/>
              </w:rPr>
            </w:pPr>
            <w:r w:rsidRPr="00591ABB"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eastAsia="en-GB"/>
              </w:rPr>
              <w:t>Bidders should indicate the number of days necessary to perform the service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BA64E" w14:textId="77777777" w:rsidR="00164AF8" w:rsidRDefault="00164AF8" w:rsidP="00164AF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30A3D67F" w14:textId="77777777" w:rsidR="00164AF8" w:rsidRDefault="00164AF8" w:rsidP="00164AF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6ECBC28B" w14:textId="6364E4A1" w:rsidR="007E2D5C" w:rsidRDefault="007E2D5C" w:rsidP="00164AF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AE02AF">
              <w:rPr>
                <w:rFonts w:ascii="Arial" w:hAnsi="Arial" w:cs="Arial"/>
                <w:b/>
                <w:bCs/>
                <w:color w:val="000000"/>
                <w:lang w:eastAsia="en-GB"/>
              </w:rPr>
              <w:t>…</w:t>
            </w:r>
          </w:p>
          <w:p w14:paraId="11F167AD" w14:textId="77777777" w:rsidR="00164AF8" w:rsidRDefault="00164AF8" w:rsidP="00164AF8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eastAsia="en-GB"/>
              </w:rPr>
            </w:pPr>
          </w:p>
          <w:p w14:paraId="39670B34" w14:textId="77777777" w:rsidR="00164AF8" w:rsidRDefault="00164AF8" w:rsidP="00164AF8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eastAsia="en-GB"/>
              </w:rPr>
            </w:pPr>
          </w:p>
          <w:p w14:paraId="78180545" w14:textId="2C865B3D" w:rsidR="002606F1" w:rsidRPr="00A2173F" w:rsidRDefault="002606F1" w:rsidP="00164AF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91ABB"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eastAsia="en-GB"/>
              </w:rPr>
              <w:t>covering the professional fee of the consultant</w:t>
            </w:r>
          </w:p>
        </w:tc>
      </w:tr>
      <w:tr w:rsidR="007E2D5C" w:rsidRPr="00AE02AF" w14:paraId="1AF4F808" w14:textId="77777777" w:rsidTr="003446A2">
        <w:trPr>
          <w:trHeight w:val="288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22111" w14:textId="77777777" w:rsidR="007E2D5C" w:rsidRDefault="007E2D5C" w:rsidP="003446A2">
            <w:pPr>
              <w:spacing w:after="0"/>
              <w:rPr>
                <w:rFonts w:ascii="Arial" w:hAnsi="Arial" w:cs="Arial"/>
                <w:color w:val="000000"/>
                <w:sz w:val="20"/>
                <w:lang w:eastAsia="ja-JP"/>
              </w:rPr>
            </w:pPr>
            <w:r>
              <w:rPr>
                <w:rFonts w:ascii="Arial" w:hAnsi="Arial" w:cs="Arial"/>
                <w:color w:val="000000"/>
                <w:sz w:val="20"/>
                <w:lang w:eastAsia="ja-JP"/>
              </w:rPr>
              <w:t>Discount (</w:t>
            </w:r>
            <w:r w:rsidRPr="00892854">
              <w:rPr>
                <w:rFonts w:ascii="Arial" w:hAnsi="Arial" w:cs="Arial"/>
                <w:i/>
                <w:iCs/>
                <w:color w:val="000000"/>
                <w:sz w:val="20"/>
                <w:lang w:eastAsia="ja-JP"/>
              </w:rPr>
              <w:t>you have the possibility to provide a financial reduction</w:t>
            </w:r>
            <w:r>
              <w:rPr>
                <w:rFonts w:ascii="Arial" w:hAnsi="Arial" w:cs="Arial"/>
                <w:color w:val="000000"/>
                <w:sz w:val="20"/>
                <w:lang w:eastAsia="ja-JP"/>
              </w:rPr>
              <w:t>)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B63B0" w14:textId="3919D075" w:rsidR="007E2D5C" w:rsidRPr="003446A2" w:rsidRDefault="00FC00A5" w:rsidP="007E2D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3446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ja-JP"/>
              </w:rPr>
              <w:t>…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1E346" w14:textId="2FE5BFA9" w:rsidR="007E2D5C" w:rsidRPr="003446A2" w:rsidRDefault="00BC40DA" w:rsidP="003446A2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3446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         </w:t>
            </w:r>
            <w:r w:rsidR="007E2D5C" w:rsidRPr="003446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…</w:t>
            </w:r>
          </w:p>
          <w:p w14:paraId="141C40F7" w14:textId="01BD0BA2" w:rsidR="002606F1" w:rsidRPr="003446A2" w:rsidRDefault="002606F1" w:rsidP="007E2D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7E2D5C" w:rsidRPr="00A2173F" w14:paraId="73D1B506" w14:textId="77777777" w:rsidTr="007E2D5C">
        <w:trPr>
          <w:trHeight w:val="469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1C81" w14:textId="77777777" w:rsidR="007E2D5C" w:rsidRPr="00F065D1" w:rsidRDefault="007E2D5C" w:rsidP="007E2D5C">
            <w:pPr>
              <w:tabs>
                <w:tab w:val="left" w:pos="9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eastAsia="MS Mincho" w:hAnsi="Arial" w:cs="Arial"/>
                <w:lang w:eastAsia="ja-JP"/>
              </w:rPr>
            </w:pPr>
            <w:r w:rsidRPr="007742AD">
              <w:rPr>
                <w:b/>
                <w:bCs/>
                <w:sz w:val="28"/>
                <w:szCs w:val="32"/>
              </w:rPr>
              <w:t>Total amount for the entire mission</w:t>
            </w:r>
            <w:r>
              <w:rPr>
                <w:b/>
                <w:bCs/>
                <w:sz w:val="28"/>
                <w:szCs w:val="32"/>
              </w:rPr>
              <w:t xml:space="preserve"> </w:t>
            </w:r>
          </w:p>
        </w:tc>
        <w:tc>
          <w:tcPr>
            <w:tcW w:w="255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796DC" w14:textId="77777777" w:rsidR="002606F1" w:rsidRDefault="002606F1" w:rsidP="002606F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56618B46" w14:textId="71DCDC6E" w:rsidR="002606F1" w:rsidRDefault="002606F1" w:rsidP="002606F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eastAsia="en-GB"/>
              </w:rPr>
            </w:pPr>
            <w:r w:rsidRPr="003446A2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eastAsia="en-GB"/>
              </w:rPr>
              <w:t>…</w:t>
            </w:r>
          </w:p>
          <w:p w14:paraId="3D5687BD" w14:textId="77777777" w:rsidR="00D860EF" w:rsidRPr="003446A2" w:rsidRDefault="00D860EF" w:rsidP="003446A2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eastAsia="en-GB"/>
              </w:rPr>
            </w:pPr>
          </w:p>
          <w:p w14:paraId="113E534A" w14:textId="6B074716" w:rsidR="007E2D5C" w:rsidRPr="003446A2" w:rsidRDefault="00FC00A5" w:rsidP="007E2D5C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lang w:eastAsia="en-GB"/>
              </w:rPr>
            </w:pPr>
            <w:r w:rsidRPr="003446A2"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eastAsia="en-GB"/>
              </w:rPr>
              <w:t>as a reminder the</w:t>
            </w:r>
            <w:r w:rsidR="00120141" w:rsidRPr="003446A2"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eastAsia="en-GB"/>
              </w:rPr>
              <w:t xml:space="preserve"> expecting working days should not exceed</w:t>
            </w:r>
            <w:r w:rsidRPr="003446A2"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eastAsia="en-GB"/>
              </w:rPr>
              <w:t xml:space="preserve"> </w:t>
            </w:r>
            <w:r w:rsidR="007E2D5C" w:rsidRPr="00105E7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6"/>
                <w:highlight w:val="yellow"/>
                <w:lang w:eastAsia="en-GB"/>
              </w:rPr>
              <w:t>62</w:t>
            </w:r>
            <w:r w:rsidR="0091544B" w:rsidRPr="00105E7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6"/>
                <w:highlight w:val="yellow"/>
                <w:lang w:eastAsia="en-GB"/>
              </w:rPr>
              <w:t xml:space="preserve"> </w:t>
            </w:r>
            <w:r w:rsidR="007E2D5C" w:rsidRPr="00105E73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6"/>
                <w:highlight w:val="yellow"/>
                <w:lang w:eastAsia="en-GB"/>
              </w:rPr>
              <w:t>days</w:t>
            </w:r>
          </w:p>
        </w:tc>
        <w:tc>
          <w:tcPr>
            <w:tcW w:w="22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445E9" w14:textId="77777777" w:rsidR="004563DE" w:rsidRDefault="004563DE" w:rsidP="007E2D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350BB05F" w14:textId="7600A3DD" w:rsidR="007E2D5C" w:rsidRDefault="007E2D5C" w:rsidP="007E2D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eastAsia="en-GB"/>
              </w:rPr>
            </w:pPr>
            <w:r w:rsidRPr="003446A2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eastAsia="en-GB"/>
              </w:rPr>
              <w:t>…</w:t>
            </w:r>
          </w:p>
          <w:p w14:paraId="1FA4AAEC" w14:textId="77777777" w:rsidR="00164AF8" w:rsidRPr="003446A2" w:rsidRDefault="00164AF8" w:rsidP="003446A2">
            <w:pPr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eastAsia="en-GB"/>
              </w:rPr>
            </w:pPr>
          </w:p>
          <w:p w14:paraId="1F0DE9DE" w14:textId="6DDE88E8" w:rsidR="002606F1" w:rsidRPr="00A2173F" w:rsidRDefault="002606F1" w:rsidP="007E2D5C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591ABB"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eastAsia="en-GB"/>
              </w:rPr>
              <w:t>covering the professional fee of the consultant</w:t>
            </w:r>
          </w:p>
        </w:tc>
      </w:tr>
    </w:tbl>
    <w:p w14:paraId="09DD42EB" w14:textId="0B8986F2" w:rsidR="001E5075" w:rsidRPr="005A6B83" w:rsidRDefault="00C83F53" w:rsidP="003446A2">
      <w:pPr>
        <w:pStyle w:val="Texte"/>
        <w:numPr>
          <w:ilvl w:val="0"/>
          <w:numId w:val="67"/>
        </w:numPr>
        <w:rPr>
          <w:b/>
          <w:bCs/>
          <w:sz w:val="24"/>
          <w:szCs w:val="28"/>
        </w:rPr>
      </w:pPr>
      <w:r w:rsidRPr="003446A2">
        <w:rPr>
          <w:b/>
          <w:bCs/>
          <w:sz w:val="24"/>
          <w:szCs w:val="28"/>
        </w:rPr>
        <w:t>Firm tranche</w:t>
      </w:r>
    </w:p>
    <w:p w14:paraId="3D67AF74" w14:textId="207CEB8A" w:rsidR="00BB20B1" w:rsidRDefault="00BB20B1" w:rsidP="006F18A8">
      <w:pPr>
        <w:pStyle w:val="Texte"/>
        <w:rPr>
          <w:szCs w:val="20"/>
        </w:rPr>
      </w:pPr>
    </w:p>
    <w:p w14:paraId="7364D104" w14:textId="3FFA620B" w:rsidR="002352AB" w:rsidRPr="003446A2" w:rsidRDefault="002352AB" w:rsidP="003446A2">
      <w:pPr>
        <w:pStyle w:val="Texte"/>
        <w:numPr>
          <w:ilvl w:val="0"/>
          <w:numId w:val="67"/>
        </w:numPr>
        <w:spacing w:after="0" w:line="240" w:lineRule="auto"/>
        <w:rPr>
          <w:b/>
          <w:bCs/>
          <w:sz w:val="24"/>
          <w:szCs w:val="28"/>
        </w:rPr>
      </w:pPr>
      <w:r w:rsidRPr="003446A2">
        <w:rPr>
          <w:b/>
          <w:bCs/>
          <w:sz w:val="24"/>
          <w:szCs w:val="28"/>
        </w:rPr>
        <w:t>Conditional tranche</w:t>
      </w:r>
    </w:p>
    <w:tbl>
      <w:tblPr>
        <w:tblpPr w:leftFromText="141" w:rightFromText="141" w:vertAnchor="text" w:horzAnchor="margin" w:tblpXSpec="center" w:tblpY="328"/>
        <w:tblW w:w="10574" w:type="dxa"/>
        <w:tblLook w:val="04A0" w:firstRow="1" w:lastRow="0" w:firstColumn="1" w:lastColumn="0" w:noHBand="0" w:noVBand="1"/>
      </w:tblPr>
      <w:tblGrid>
        <w:gridCol w:w="5799"/>
        <w:gridCol w:w="2558"/>
        <w:gridCol w:w="2217"/>
      </w:tblGrid>
      <w:tr w:rsidR="002352AB" w:rsidRPr="00F065D1" w14:paraId="278F0D43" w14:textId="6CA9B1DB" w:rsidTr="005A4294">
        <w:trPr>
          <w:trHeight w:val="288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0331B" w14:textId="4AB792DA" w:rsidR="002352AB" w:rsidRPr="00F065D1" w:rsidRDefault="002352AB" w:rsidP="005A42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Deliverables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7378" w14:textId="5622AD59" w:rsidR="002352AB" w:rsidRPr="00F065D1" w:rsidRDefault="002352AB" w:rsidP="005A42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Unit day(s)</w:t>
            </w:r>
            <w:r w:rsidRPr="00F065D1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B8235" w14:textId="28D41EAE" w:rsidR="002352AB" w:rsidRPr="00F065D1" w:rsidRDefault="002352AB" w:rsidP="005A42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Cost </w:t>
            </w:r>
          </w:p>
        </w:tc>
      </w:tr>
      <w:tr w:rsidR="002352AB" w:rsidRPr="00A2173F" w14:paraId="6B976247" w14:textId="04A98191" w:rsidTr="005A4294">
        <w:trPr>
          <w:trHeight w:val="288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8D4C" w14:textId="7D0B98E5" w:rsidR="002352AB" w:rsidRPr="00725E82" w:rsidRDefault="004F54CA" w:rsidP="005A4294">
            <w:pPr>
              <w:pStyle w:val="Texte"/>
            </w:pPr>
            <w:r>
              <w:rPr>
                <w:szCs w:val="20"/>
              </w:rPr>
              <w:t>One</w:t>
            </w:r>
            <w:r w:rsidR="002352AB" w:rsidRPr="00BF5E2C">
              <w:rPr>
                <w:szCs w:val="20"/>
              </w:rPr>
              <w:t xml:space="preserve"> (1) validated country specific needs assessment report.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5ACD" w14:textId="40F590E3" w:rsidR="002352AB" w:rsidRDefault="002352AB" w:rsidP="005A42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12393B2C" w14:textId="27C42C82" w:rsidR="002352AB" w:rsidRDefault="002352AB" w:rsidP="005A42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389FD283" w14:textId="20A490BE" w:rsidR="002352AB" w:rsidRPr="005A4294" w:rsidRDefault="002352AB" w:rsidP="005A42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eastAsia="en-GB"/>
              </w:rPr>
            </w:pPr>
            <w:r w:rsidRPr="005A4294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eastAsia="en-GB"/>
              </w:rPr>
              <w:t>…</w:t>
            </w:r>
          </w:p>
          <w:p w14:paraId="665BC906" w14:textId="64518E41" w:rsidR="002352AB" w:rsidRDefault="002352AB" w:rsidP="005A42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14EAA0FF" w14:textId="4DA6155A" w:rsidR="002352AB" w:rsidRPr="005A4294" w:rsidRDefault="002352AB" w:rsidP="005A4294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lang w:eastAsia="en-GB"/>
              </w:rPr>
            </w:pPr>
            <w:r w:rsidRPr="005A4294"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eastAsia="en-GB"/>
              </w:rPr>
              <w:t>Bidders should indicate the number of days necessary to perform the service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F107C" w14:textId="778DFAAE" w:rsidR="002352AB" w:rsidRDefault="002352AB" w:rsidP="005A42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10982138" w14:textId="1CD6CF03" w:rsidR="002352AB" w:rsidRDefault="002352AB" w:rsidP="005A42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</w:p>
          <w:p w14:paraId="373F0F5A" w14:textId="11C641CC" w:rsidR="002352AB" w:rsidRPr="005A4294" w:rsidRDefault="002352AB" w:rsidP="005A4294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eastAsia="en-GB"/>
              </w:rPr>
            </w:pPr>
            <w:r w:rsidRPr="005A4294">
              <w:rPr>
                <w:rFonts w:ascii="Arial" w:hAnsi="Arial" w:cs="Arial"/>
                <w:b/>
                <w:bCs/>
                <w:color w:val="000000"/>
                <w:sz w:val="24"/>
                <w:szCs w:val="22"/>
                <w:lang w:eastAsia="en-GB"/>
              </w:rPr>
              <w:t>…</w:t>
            </w:r>
          </w:p>
          <w:p w14:paraId="093CB768" w14:textId="7DD6DA31" w:rsidR="002352AB" w:rsidRDefault="002352AB" w:rsidP="005A4294">
            <w:pPr>
              <w:spacing w:after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eastAsia="en-GB"/>
              </w:rPr>
            </w:pPr>
          </w:p>
          <w:p w14:paraId="42FFD4E6" w14:textId="05F0DF0C" w:rsidR="002352AB" w:rsidRPr="005A4294" w:rsidRDefault="002352AB" w:rsidP="005A4294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5A4294">
              <w:rPr>
                <w:rFonts w:ascii="Arial" w:hAnsi="Arial" w:cs="Arial"/>
                <w:i/>
                <w:iCs/>
                <w:color w:val="FF0000"/>
                <w:sz w:val="18"/>
                <w:szCs w:val="16"/>
                <w:lang w:eastAsia="en-GB"/>
              </w:rPr>
              <w:t>covering the professional fee of the consultant</w:t>
            </w:r>
          </w:p>
        </w:tc>
      </w:tr>
    </w:tbl>
    <w:p w14:paraId="3D987C97" w14:textId="241C28CF" w:rsidR="003446A2" w:rsidRDefault="003446A2" w:rsidP="005A6B83">
      <w:pPr>
        <w:pStyle w:val="Texte"/>
        <w:rPr>
          <w:color w:val="FF0000"/>
          <w:sz w:val="16"/>
          <w:szCs w:val="18"/>
        </w:rPr>
      </w:pPr>
    </w:p>
    <w:p w14:paraId="472D80EA" w14:textId="67564A7D" w:rsidR="003446A2" w:rsidRDefault="003446A2" w:rsidP="005A6B83">
      <w:pPr>
        <w:pStyle w:val="Texte"/>
        <w:rPr>
          <w:color w:val="FF0000"/>
          <w:sz w:val="16"/>
          <w:szCs w:val="18"/>
        </w:rPr>
      </w:pPr>
    </w:p>
    <w:p w14:paraId="1162C5D4" w14:textId="77777777" w:rsidR="003446A2" w:rsidRDefault="003446A2" w:rsidP="005A6B83">
      <w:pPr>
        <w:pStyle w:val="Texte"/>
        <w:rPr>
          <w:color w:val="FF0000"/>
          <w:sz w:val="16"/>
          <w:szCs w:val="18"/>
        </w:rPr>
      </w:pPr>
    </w:p>
    <w:p w14:paraId="17B33469" w14:textId="3F934D4C" w:rsidR="005A6B83" w:rsidRPr="005A6B83" w:rsidRDefault="005A6B83" w:rsidP="005A6B83">
      <w:pPr>
        <w:pStyle w:val="Texte"/>
        <w:rPr>
          <w:color w:val="FF0000"/>
          <w:sz w:val="16"/>
          <w:szCs w:val="16"/>
        </w:rPr>
      </w:pPr>
      <w:r w:rsidRPr="005A6B83">
        <w:rPr>
          <w:rStyle w:val="Appelnotedebasdep"/>
          <w:b/>
          <w:bCs/>
          <w:color w:val="FF0000"/>
          <w:sz w:val="22"/>
          <w:szCs w:val="24"/>
        </w:rPr>
        <w:footnoteRef/>
      </w:r>
      <w:r w:rsidRPr="005A6B83">
        <w:rPr>
          <w:color w:val="FF0000"/>
          <w:sz w:val="16"/>
          <w:szCs w:val="18"/>
        </w:rPr>
        <w:t xml:space="preserve"> </w:t>
      </w:r>
      <w:r w:rsidRPr="005A6B83">
        <w:rPr>
          <w:color w:val="FF0000"/>
          <w:sz w:val="16"/>
          <w:szCs w:val="16"/>
        </w:rPr>
        <w:t xml:space="preserve">Nota bene: For any currency other than the </w:t>
      </w:r>
      <w:r w:rsidR="00BD04FD">
        <w:rPr>
          <w:color w:val="FF0000"/>
          <w:sz w:val="16"/>
          <w:szCs w:val="16"/>
        </w:rPr>
        <w:t>US Dollar</w:t>
      </w:r>
      <w:r w:rsidRPr="005A6B83">
        <w:rPr>
          <w:color w:val="FF0000"/>
          <w:sz w:val="16"/>
          <w:szCs w:val="16"/>
        </w:rPr>
        <w:t>, the exchange rate used will be that of the day of the submission of the offers (</w:t>
      </w:r>
      <w:r w:rsidR="00BD653F">
        <w:rPr>
          <w:color w:val="FF0000"/>
          <w:sz w:val="16"/>
          <w:szCs w:val="16"/>
        </w:rPr>
        <w:t>1</w:t>
      </w:r>
      <w:r w:rsidR="00BD653F" w:rsidRPr="00BD653F">
        <w:rPr>
          <w:color w:val="FF0000"/>
          <w:sz w:val="16"/>
          <w:szCs w:val="16"/>
          <w:vertAlign w:val="superscript"/>
        </w:rPr>
        <w:t>st</w:t>
      </w:r>
      <w:r w:rsidR="00BD653F">
        <w:rPr>
          <w:color w:val="FF0000"/>
          <w:sz w:val="16"/>
          <w:szCs w:val="16"/>
        </w:rPr>
        <w:t xml:space="preserve"> February 2022</w:t>
      </w:r>
      <w:r w:rsidRPr="005A6B83">
        <w:rPr>
          <w:color w:val="FF0000"/>
          <w:sz w:val="16"/>
          <w:szCs w:val="16"/>
        </w:rPr>
        <w:t>)</w:t>
      </w:r>
    </w:p>
    <w:p w14:paraId="50EE5139" w14:textId="77777777" w:rsidR="005A6B83" w:rsidRPr="005A6B83" w:rsidRDefault="005A6B83" w:rsidP="005A6B83">
      <w:pPr>
        <w:pStyle w:val="Texte"/>
        <w:rPr>
          <w:b/>
          <w:bCs/>
          <w:sz w:val="28"/>
          <w:szCs w:val="32"/>
        </w:rPr>
      </w:pPr>
      <w:r w:rsidRPr="005A6B83">
        <w:rPr>
          <w:color w:val="FF0000"/>
          <w:sz w:val="16"/>
          <w:szCs w:val="16"/>
        </w:rPr>
        <w:t>The OIE is</w:t>
      </w:r>
      <w:r w:rsidRPr="005A6B83">
        <w:rPr>
          <w:color w:val="FF0000"/>
          <w:sz w:val="16"/>
          <w:szCs w:val="18"/>
        </w:rPr>
        <w:t xml:space="preserve"> using the main daily euro foreign exchange rates (reference rates provided by the ECB) accessible in the website of the Banque de France </w:t>
      </w:r>
      <w:r w:rsidRPr="005A6B83">
        <w:rPr>
          <w:sz w:val="16"/>
          <w:szCs w:val="18"/>
        </w:rPr>
        <w:t>(</w:t>
      </w:r>
      <w:hyperlink r:id="rId12" w:history="1">
        <w:r w:rsidRPr="005A6B83">
          <w:rPr>
            <w:rStyle w:val="Lienhypertexte"/>
            <w:sz w:val="16"/>
            <w:szCs w:val="18"/>
          </w:rPr>
          <w:t>Main daily euro foreign exchange rates (reference rates provided by the ECB) | Banque de France (banque-france.fr)</w:t>
        </w:r>
      </w:hyperlink>
    </w:p>
    <w:p w14:paraId="520D9854" w14:textId="6E99A4C1" w:rsidR="00C83F53" w:rsidRDefault="00C83F53" w:rsidP="006F18A8">
      <w:pPr>
        <w:pStyle w:val="Texte"/>
        <w:rPr>
          <w:szCs w:val="20"/>
        </w:rPr>
      </w:pPr>
    </w:p>
    <w:sectPr w:rsidR="00C83F53" w:rsidSect="003446A2">
      <w:headerReference w:type="default" r:id="rId13"/>
      <w:footerReference w:type="default" r:id="rId14"/>
      <w:pgSz w:w="11907" w:h="16839" w:code="9"/>
      <w:pgMar w:top="1086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3E04" w14:textId="77777777" w:rsidR="00206EC2" w:rsidRDefault="00206EC2">
      <w:r>
        <w:separator/>
      </w:r>
    </w:p>
  </w:endnote>
  <w:endnote w:type="continuationSeparator" w:id="0">
    <w:p w14:paraId="682EA41A" w14:textId="77777777" w:rsidR="00206EC2" w:rsidRDefault="00206EC2">
      <w:r>
        <w:continuationSeparator/>
      </w:r>
    </w:p>
  </w:endnote>
  <w:endnote w:type="continuationNotice" w:id="1">
    <w:p w14:paraId="0775DAF4" w14:textId="77777777" w:rsidR="00206EC2" w:rsidRDefault="00206EC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C9B3" w14:textId="1F6E61F4" w:rsidR="00AF5BF7" w:rsidRPr="000F5C71" w:rsidRDefault="00BD653F" w:rsidP="00403AAC">
    <w:pPr>
      <w:pStyle w:val="FooterLine"/>
      <w:tabs>
        <w:tab w:val="left" w:pos="4253"/>
      </w:tabs>
      <w:rPr>
        <w:rStyle w:val="Numrodepage"/>
        <w:rFonts w:ascii="Calibri" w:hAnsi="Calibri"/>
        <w:lang w:val="fr-BE"/>
      </w:rPr>
    </w:pPr>
    <w:r>
      <w:rPr>
        <w:rFonts w:asciiTheme="minorHAnsi" w:hAnsiTheme="minorHAnsi" w:cstheme="minorHAnsi"/>
        <w:bCs/>
        <w:lang w:val="fr-BE"/>
      </w:rPr>
      <w:t>EID/</w:t>
    </w:r>
    <w:r w:rsidR="00BC40DA">
      <w:rPr>
        <w:rFonts w:asciiTheme="minorHAnsi" w:hAnsiTheme="minorHAnsi" w:cstheme="minorHAnsi"/>
        <w:bCs/>
        <w:lang w:val="fr-BE"/>
      </w:rPr>
      <w:t>CFEOI202</w:t>
    </w:r>
    <w:r>
      <w:rPr>
        <w:rFonts w:asciiTheme="minorHAnsi" w:hAnsiTheme="minorHAnsi" w:cstheme="minorHAnsi"/>
        <w:bCs/>
        <w:lang w:val="fr-BE"/>
      </w:rPr>
      <w:t>2</w:t>
    </w:r>
    <w:r w:rsidR="00BC40DA">
      <w:rPr>
        <w:rFonts w:asciiTheme="minorHAnsi" w:hAnsiTheme="minorHAnsi" w:cstheme="minorHAnsi"/>
        <w:bCs/>
        <w:lang w:val="fr-BE"/>
      </w:rPr>
      <w:t>/1</w:t>
    </w:r>
    <w:r w:rsidR="00AF5BF7" w:rsidRPr="00403AAC">
      <w:rPr>
        <w:rFonts w:asciiTheme="minorHAnsi" w:hAnsiTheme="minorHAnsi" w:cstheme="minorHAnsi"/>
        <w:bCs/>
        <w:lang w:val="fr-BE"/>
      </w:rPr>
      <w:t xml:space="preserve">            </w:t>
    </w:r>
    <w:r w:rsidR="00AF5BF7">
      <w:rPr>
        <w:rFonts w:asciiTheme="minorHAnsi" w:hAnsiTheme="minorHAnsi" w:cstheme="minorHAnsi"/>
        <w:bCs/>
        <w:lang w:val="fr-BE"/>
      </w:rPr>
      <w:tab/>
    </w:r>
    <w:r w:rsidR="00AF5BF7" w:rsidRPr="0030290B">
      <w:rPr>
        <w:rStyle w:val="Numrodepage"/>
        <w:rFonts w:ascii="Calibri" w:hAnsi="Calibri"/>
      </w:rPr>
      <w:fldChar w:fldCharType="begin"/>
    </w:r>
    <w:r w:rsidR="00AF5BF7" w:rsidRPr="00687B38">
      <w:rPr>
        <w:rStyle w:val="Numrodepage"/>
        <w:rFonts w:ascii="Calibri" w:hAnsi="Calibri"/>
        <w:lang w:val="fr-BE"/>
      </w:rPr>
      <w:instrText xml:space="preserve"> PAGE </w:instrText>
    </w:r>
    <w:r w:rsidR="00AF5BF7" w:rsidRPr="0030290B">
      <w:rPr>
        <w:rStyle w:val="Numrodepage"/>
        <w:rFonts w:ascii="Calibri" w:hAnsi="Calibri"/>
      </w:rPr>
      <w:fldChar w:fldCharType="separate"/>
    </w:r>
    <w:r w:rsidR="006D3915">
      <w:rPr>
        <w:rStyle w:val="Numrodepage"/>
        <w:rFonts w:ascii="Calibri" w:hAnsi="Calibri"/>
        <w:noProof/>
        <w:lang w:val="fr-BE"/>
      </w:rPr>
      <w:t>2</w:t>
    </w:r>
    <w:r w:rsidR="00AF5BF7" w:rsidRPr="0030290B">
      <w:rPr>
        <w:rStyle w:val="Numrodepage"/>
        <w:rFonts w:ascii="Calibri" w:hAnsi="Calibri"/>
      </w:rPr>
      <w:fldChar w:fldCharType="end"/>
    </w:r>
    <w:r w:rsidR="00AF5BF7">
      <w:rPr>
        <w:rStyle w:val="Numrodepage"/>
        <w:rFonts w:ascii="Calibri" w:hAnsi="Calibri"/>
        <w:lang w:val="fr-BE"/>
      </w:rPr>
      <w:t>/</w:t>
    </w:r>
    <w:r w:rsidR="00AF5BF7" w:rsidRPr="0030290B">
      <w:rPr>
        <w:rStyle w:val="Numrodepage"/>
        <w:rFonts w:ascii="Calibri" w:hAnsi="Calibri"/>
        <w:snapToGrid w:val="0"/>
      </w:rPr>
      <w:fldChar w:fldCharType="begin"/>
    </w:r>
    <w:r w:rsidR="00AF5BF7" w:rsidRPr="00687B38">
      <w:rPr>
        <w:rStyle w:val="Numrodepage"/>
        <w:rFonts w:ascii="Calibri" w:hAnsi="Calibri"/>
        <w:snapToGrid w:val="0"/>
        <w:lang w:val="fr-BE"/>
      </w:rPr>
      <w:instrText xml:space="preserve"> NUMPAGES </w:instrText>
    </w:r>
    <w:r w:rsidR="00AF5BF7" w:rsidRPr="0030290B">
      <w:rPr>
        <w:rStyle w:val="Numrodepage"/>
        <w:rFonts w:ascii="Calibri" w:hAnsi="Calibri"/>
        <w:snapToGrid w:val="0"/>
      </w:rPr>
      <w:fldChar w:fldCharType="separate"/>
    </w:r>
    <w:r w:rsidR="006D3915">
      <w:rPr>
        <w:rStyle w:val="Numrodepage"/>
        <w:rFonts w:ascii="Calibri" w:hAnsi="Calibri"/>
        <w:noProof/>
        <w:snapToGrid w:val="0"/>
        <w:lang w:val="fr-BE"/>
      </w:rPr>
      <w:t>2</w:t>
    </w:r>
    <w:r w:rsidR="00AF5BF7" w:rsidRPr="0030290B">
      <w:rPr>
        <w:rStyle w:val="Numrodepage"/>
        <w:rFonts w:ascii="Calibri" w:hAnsi="Calibri"/>
        <w:snapToGrid w:val="0"/>
      </w:rPr>
      <w:fldChar w:fldCharType="end"/>
    </w:r>
    <w:r w:rsidR="00AF5BF7" w:rsidRPr="00403AAC">
      <w:rPr>
        <w:rFonts w:asciiTheme="minorHAnsi" w:hAnsiTheme="minorHAnsi" w:cstheme="minorHAnsi"/>
        <w:bCs/>
        <w:lang w:val="fr-BE"/>
      </w:rPr>
      <w:t xml:space="preserve">                                          </w:t>
    </w:r>
    <w:r w:rsidR="00AF5BF7">
      <w:rPr>
        <w:rFonts w:asciiTheme="minorHAnsi" w:hAnsiTheme="minorHAnsi" w:cstheme="minorHAnsi"/>
        <w:bCs/>
        <w:lang w:val="fr-BE"/>
      </w:rPr>
      <w:t xml:space="preserve">  </w:t>
    </w:r>
    <w:r w:rsidR="00AF5BF7" w:rsidRPr="00687B38">
      <w:rPr>
        <w:rStyle w:val="Numrodepage"/>
        <w:rFonts w:ascii="Calibri" w:hAnsi="Calibri"/>
        <w:lang w:val="fr-BE"/>
      </w:rPr>
      <w:t xml:space="preserve"> </w:t>
    </w:r>
    <w:r w:rsidR="00AF5BF7">
      <w:rPr>
        <w:rStyle w:val="Numrodepage"/>
        <w:rFonts w:ascii="Calibri" w:hAnsi="Calibri"/>
        <w:lang w:val="fr-BE"/>
      </w:rPr>
      <w:t xml:space="preserve">                               </w:t>
    </w:r>
    <w:r w:rsidR="00AF5BF7" w:rsidRPr="00687B38">
      <w:rPr>
        <w:rStyle w:val="Numrodepage"/>
        <w:rFonts w:ascii="Calibri" w:hAnsi="Calibri"/>
        <w:lang w:val="fr-BE"/>
      </w:rPr>
      <w:tab/>
      <w:t xml:space="preserve">                       </w:t>
    </w:r>
    <w:r w:rsidR="00AF5BF7">
      <w:rPr>
        <w:rStyle w:val="Numrodepage"/>
        <w:rFonts w:ascii="Calibri" w:hAnsi="Calibri"/>
        <w:lang w:val="fr-BE"/>
      </w:rPr>
      <w:t xml:space="preserve">       </w:t>
    </w:r>
    <w:r w:rsidR="00AF5BF7" w:rsidRPr="00687B38">
      <w:rPr>
        <w:rStyle w:val="Numrodepage"/>
        <w:rFonts w:ascii="Calibri" w:hAnsi="Calibri"/>
        <w:lang w:val="fr-BE"/>
      </w:rPr>
      <w:t xml:space="preserve"> </w:t>
    </w:r>
  </w:p>
  <w:p w14:paraId="561A99BD" w14:textId="77777777" w:rsidR="00AF5BF7" w:rsidRDefault="00AF5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1954" w14:textId="77777777" w:rsidR="00206EC2" w:rsidRDefault="00206EC2">
      <w:r>
        <w:separator/>
      </w:r>
    </w:p>
  </w:footnote>
  <w:footnote w:type="continuationSeparator" w:id="0">
    <w:p w14:paraId="1196BA5A" w14:textId="77777777" w:rsidR="00206EC2" w:rsidRDefault="00206EC2">
      <w:r>
        <w:continuationSeparator/>
      </w:r>
    </w:p>
  </w:footnote>
  <w:footnote w:type="continuationNotice" w:id="1">
    <w:p w14:paraId="36748039" w14:textId="77777777" w:rsidR="00206EC2" w:rsidRDefault="00206EC2">
      <w:pPr>
        <w:spacing w:after="0"/>
      </w:pPr>
    </w:p>
  </w:footnote>
  <w:footnote w:id="2">
    <w:p w14:paraId="434AF71E" w14:textId="36864E67" w:rsidR="00F5536B" w:rsidRPr="005A6B83" w:rsidRDefault="00F5536B" w:rsidP="005A6B83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126A089F" w:rsidR="00354508" w:rsidRPr="00354508" w:rsidRDefault="00354508" w:rsidP="00354508">
    <w:pPr>
      <w:pStyle w:val="En-tte"/>
      <w:jc w:val="righ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3" name="Image 3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B561F79"/>
    <w:multiLevelType w:val="multilevel"/>
    <w:tmpl w:val="5ACCC4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74" w:hanging="5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7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1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2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9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7530B9"/>
    <w:multiLevelType w:val="hybridMultilevel"/>
    <w:tmpl w:val="ABAC6B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33B4F7F"/>
    <w:multiLevelType w:val="hybridMultilevel"/>
    <w:tmpl w:val="ABAC6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41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8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50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2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4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6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7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>
    <w:abstractNumId w:val="27"/>
  </w:num>
  <w:num w:numId="2">
    <w:abstractNumId w:val="0"/>
  </w:num>
  <w:num w:numId="3">
    <w:abstractNumId w:val="40"/>
  </w:num>
  <w:num w:numId="4">
    <w:abstractNumId w:val="11"/>
  </w:num>
  <w:num w:numId="5">
    <w:abstractNumId w:val="10"/>
  </w:num>
  <w:num w:numId="6">
    <w:abstractNumId w:val="55"/>
  </w:num>
  <w:num w:numId="7">
    <w:abstractNumId w:val="16"/>
  </w:num>
  <w:num w:numId="8">
    <w:abstractNumId w:val="15"/>
  </w:num>
  <w:num w:numId="9">
    <w:abstractNumId w:val="29"/>
  </w:num>
  <w:num w:numId="10">
    <w:abstractNumId w:val="20"/>
  </w:num>
  <w:num w:numId="11">
    <w:abstractNumId w:val="47"/>
  </w:num>
  <w:num w:numId="12">
    <w:abstractNumId w:val="49"/>
  </w:num>
  <w:num w:numId="13">
    <w:abstractNumId w:val="48"/>
  </w:num>
  <w:num w:numId="14">
    <w:abstractNumId w:val="9"/>
  </w:num>
  <w:num w:numId="15">
    <w:abstractNumId w:val="33"/>
  </w:num>
  <w:num w:numId="16">
    <w:abstractNumId w:val="12"/>
  </w:num>
  <w:num w:numId="17">
    <w:abstractNumId w:val="7"/>
  </w:num>
  <w:num w:numId="18">
    <w:abstractNumId w:val="52"/>
  </w:num>
  <w:num w:numId="19">
    <w:abstractNumId w:val="51"/>
  </w:num>
  <w:num w:numId="20">
    <w:abstractNumId w:val="58"/>
  </w:num>
  <w:num w:numId="21">
    <w:abstractNumId w:val="59"/>
  </w:num>
  <w:num w:numId="22">
    <w:abstractNumId w:val="28"/>
  </w:num>
  <w:num w:numId="23">
    <w:abstractNumId w:val="21"/>
  </w:num>
  <w:num w:numId="24">
    <w:abstractNumId w:val="14"/>
  </w:num>
  <w:num w:numId="25">
    <w:abstractNumId w:val="56"/>
  </w:num>
  <w:num w:numId="26">
    <w:abstractNumId w:val="3"/>
  </w:num>
  <w:num w:numId="27">
    <w:abstractNumId w:val="4"/>
  </w:num>
  <w:num w:numId="28">
    <w:abstractNumId w:val="60"/>
  </w:num>
  <w:num w:numId="29">
    <w:abstractNumId w:val="1"/>
  </w:num>
  <w:num w:numId="30">
    <w:abstractNumId w:val="42"/>
  </w:num>
  <w:num w:numId="31">
    <w:abstractNumId w:val="30"/>
  </w:num>
  <w:num w:numId="32">
    <w:abstractNumId w:val="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6"/>
  </w:num>
  <w:num w:numId="37">
    <w:abstractNumId w:val="41"/>
  </w:num>
  <w:num w:numId="38">
    <w:abstractNumId w:val="36"/>
  </w:num>
  <w:num w:numId="39">
    <w:abstractNumId w:val="38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</w:num>
  <w:num w:numId="42">
    <w:abstractNumId w:val="23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54"/>
  </w:num>
  <w:num w:numId="46">
    <w:abstractNumId w:val="19"/>
  </w:num>
  <w:num w:numId="47">
    <w:abstractNumId w:val="22"/>
  </w:num>
  <w:num w:numId="48">
    <w:abstractNumId w:val="25"/>
  </w:num>
  <w:num w:numId="49">
    <w:abstractNumId w:val="34"/>
  </w:num>
  <w:num w:numId="50">
    <w:abstractNumId w:val="44"/>
  </w:num>
  <w:num w:numId="51">
    <w:abstractNumId w:val="13"/>
  </w:num>
  <w:num w:numId="52">
    <w:abstractNumId w:val="26"/>
  </w:num>
  <w:num w:numId="53">
    <w:abstractNumId w:val="35"/>
  </w:num>
  <w:num w:numId="54">
    <w:abstractNumId w:val="18"/>
  </w:num>
  <w:num w:numId="55">
    <w:abstractNumId w:val="57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</w:num>
  <w:num w:numId="59">
    <w:abstractNumId w:val="24"/>
  </w:num>
  <w:num w:numId="60">
    <w:abstractNumId w:val="32"/>
  </w:num>
  <w:num w:numId="61">
    <w:abstractNumId w:val="45"/>
  </w:num>
  <w:num w:numId="62">
    <w:abstractNumId w:val="53"/>
  </w:num>
  <w:num w:numId="63">
    <w:abstractNumId w:val="17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 w:numId="66">
    <w:abstractNumId w:val="6"/>
  </w:num>
  <w:num w:numId="67">
    <w:abstractNumId w:val="37"/>
  </w:num>
  <w:num w:numId="68">
    <w:abstractNumId w:val="3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B74"/>
    <w:rsid w:val="00005E96"/>
    <w:rsid w:val="0000642F"/>
    <w:rsid w:val="000074CF"/>
    <w:rsid w:val="00007BF2"/>
    <w:rsid w:val="00011BD0"/>
    <w:rsid w:val="000121F5"/>
    <w:rsid w:val="00012F5B"/>
    <w:rsid w:val="0001376E"/>
    <w:rsid w:val="000159B2"/>
    <w:rsid w:val="000161B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1A27"/>
    <w:rsid w:val="00043E20"/>
    <w:rsid w:val="00044BEE"/>
    <w:rsid w:val="00044FD3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A47"/>
    <w:rsid w:val="000666DF"/>
    <w:rsid w:val="00067070"/>
    <w:rsid w:val="00067685"/>
    <w:rsid w:val="00067CE8"/>
    <w:rsid w:val="00071F3F"/>
    <w:rsid w:val="0007285B"/>
    <w:rsid w:val="0007549A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60B4"/>
    <w:rsid w:val="000A6723"/>
    <w:rsid w:val="000A7F9A"/>
    <w:rsid w:val="000B0B0E"/>
    <w:rsid w:val="000B0EEE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D074D"/>
    <w:rsid w:val="000D16B6"/>
    <w:rsid w:val="000D2E30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05E73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FF"/>
    <w:rsid w:val="00117C9B"/>
    <w:rsid w:val="00120141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8A6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F29"/>
    <w:rsid w:val="00163011"/>
    <w:rsid w:val="00164AF8"/>
    <w:rsid w:val="00164E91"/>
    <w:rsid w:val="00165A6B"/>
    <w:rsid w:val="001660A9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5EF9"/>
    <w:rsid w:val="0017679A"/>
    <w:rsid w:val="00177B50"/>
    <w:rsid w:val="00180122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6EC2"/>
    <w:rsid w:val="00207822"/>
    <w:rsid w:val="00207869"/>
    <w:rsid w:val="0020792A"/>
    <w:rsid w:val="00211654"/>
    <w:rsid w:val="002127CC"/>
    <w:rsid w:val="00212D8A"/>
    <w:rsid w:val="002130CA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2592"/>
    <w:rsid w:val="00232C4C"/>
    <w:rsid w:val="00234AA6"/>
    <w:rsid w:val="002352AB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4CF6"/>
    <w:rsid w:val="00255011"/>
    <w:rsid w:val="0025749D"/>
    <w:rsid w:val="00257A54"/>
    <w:rsid w:val="00260541"/>
    <w:rsid w:val="002606F1"/>
    <w:rsid w:val="00260F9E"/>
    <w:rsid w:val="002613ED"/>
    <w:rsid w:val="00261414"/>
    <w:rsid w:val="002640BC"/>
    <w:rsid w:val="00264913"/>
    <w:rsid w:val="00265B52"/>
    <w:rsid w:val="002663F9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372"/>
    <w:rsid w:val="002818F9"/>
    <w:rsid w:val="00282DF6"/>
    <w:rsid w:val="0028353C"/>
    <w:rsid w:val="0028371C"/>
    <w:rsid w:val="00283DCB"/>
    <w:rsid w:val="00285C3F"/>
    <w:rsid w:val="00286A3B"/>
    <w:rsid w:val="00286CFC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2C4"/>
    <w:rsid w:val="002A771C"/>
    <w:rsid w:val="002B0A5D"/>
    <w:rsid w:val="002B0DCE"/>
    <w:rsid w:val="002B1678"/>
    <w:rsid w:val="002B1EF7"/>
    <w:rsid w:val="002B2A0D"/>
    <w:rsid w:val="002B39D0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C88"/>
    <w:rsid w:val="002C7D58"/>
    <w:rsid w:val="002D037D"/>
    <w:rsid w:val="002D10C0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2333"/>
    <w:rsid w:val="002E33F5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641C"/>
    <w:rsid w:val="002F690D"/>
    <w:rsid w:val="002F6E66"/>
    <w:rsid w:val="002F6FB7"/>
    <w:rsid w:val="002F7CD5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06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6A2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AAB"/>
    <w:rsid w:val="0036237E"/>
    <w:rsid w:val="003629ED"/>
    <w:rsid w:val="0036544D"/>
    <w:rsid w:val="00365BDD"/>
    <w:rsid w:val="00366F33"/>
    <w:rsid w:val="0036751A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97327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3DE"/>
    <w:rsid w:val="00456996"/>
    <w:rsid w:val="00457649"/>
    <w:rsid w:val="004579C9"/>
    <w:rsid w:val="00460DA5"/>
    <w:rsid w:val="0046109C"/>
    <w:rsid w:val="00461831"/>
    <w:rsid w:val="00461E45"/>
    <w:rsid w:val="00462D5F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CB6"/>
    <w:rsid w:val="004927A0"/>
    <w:rsid w:val="00492811"/>
    <w:rsid w:val="00492C3F"/>
    <w:rsid w:val="004948AB"/>
    <w:rsid w:val="0049526F"/>
    <w:rsid w:val="00496640"/>
    <w:rsid w:val="00497381"/>
    <w:rsid w:val="004A0A65"/>
    <w:rsid w:val="004A1263"/>
    <w:rsid w:val="004A1D03"/>
    <w:rsid w:val="004A2777"/>
    <w:rsid w:val="004A2A84"/>
    <w:rsid w:val="004A357B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D752A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3D36"/>
    <w:rsid w:val="004F49C6"/>
    <w:rsid w:val="004F4FB8"/>
    <w:rsid w:val="004F5255"/>
    <w:rsid w:val="004F54CA"/>
    <w:rsid w:val="004F7BD2"/>
    <w:rsid w:val="0050021F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66D6"/>
    <w:rsid w:val="005206DD"/>
    <w:rsid w:val="00521A06"/>
    <w:rsid w:val="00521F0E"/>
    <w:rsid w:val="005221A6"/>
    <w:rsid w:val="00522B3D"/>
    <w:rsid w:val="00522CD7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950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BEC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442"/>
    <w:rsid w:val="00585A6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7D3"/>
    <w:rsid w:val="005A6B83"/>
    <w:rsid w:val="005A780D"/>
    <w:rsid w:val="005B11AD"/>
    <w:rsid w:val="005B13E3"/>
    <w:rsid w:val="005B3DC8"/>
    <w:rsid w:val="005B6B31"/>
    <w:rsid w:val="005C0EE2"/>
    <w:rsid w:val="005C14E4"/>
    <w:rsid w:val="005C183D"/>
    <w:rsid w:val="005C27E0"/>
    <w:rsid w:val="005C60FA"/>
    <w:rsid w:val="005C6D36"/>
    <w:rsid w:val="005C6EC9"/>
    <w:rsid w:val="005C72E5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23B"/>
    <w:rsid w:val="00623755"/>
    <w:rsid w:val="00624068"/>
    <w:rsid w:val="00625DC6"/>
    <w:rsid w:val="0062691F"/>
    <w:rsid w:val="00626F81"/>
    <w:rsid w:val="006278A8"/>
    <w:rsid w:val="006279FF"/>
    <w:rsid w:val="006309E9"/>
    <w:rsid w:val="0063126F"/>
    <w:rsid w:val="00631766"/>
    <w:rsid w:val="0063216D"/>
    <w:rsid w:val="006321F6"/>
    <w:rsid w:val="0063231A"/>
    <w:rsid w:val="006333FC"/>
    <w:rsid w:val="00633DC0"/>
    <w:rsid w:val="00633F70"/>
    <w:rsid w:val="00634ECE"/>
    <w:rsid w:val="006358F5"/>
    <w:rsid w:val="00636620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F34"/>
    <w:rsid w:val="00674E28"/>
    <w:rsid w:val="00674EE6"/>
    <w:rsid w:val="00674FFD"/>
    <w:rsid w:val="006760D5"/>
    <w:rsid w:val="0067763C"/>
    <w:rsid w:val="00680E4E"/>
    <w:rsid w:val="00681864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B94"/>
    <w:rsid w:val="006D3915"/>
    <w:rsid w:val="006D43BC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5E85"/>
    <w:rsid w:val="006F13BD"/>
    <w:rsid w:val="006F18A8"/>
    <w:rsid w:val="006F21E5"/>
    <w:rsid w:val="006F2311"/>
    <w:rsid w:val="006F25FE"/>
    <w:rsid w:val="006F2A68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AE0"/>
    <w:rsid w:val="00724F81"/>
    <w:rsid w:val="00725694"/>
    <w:rsid w:val="00725E82"/>
    <w:rsid w:val="007310AF"/>
    <w:rsid w:val="00731BA8"/>
    <w:rsid w:val="007326BA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351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70E2"/>
    <w:rsid w:val="007602B6"/>
    <w:rsid w:val="00760A07"/>
    <w:rsid w:val="0076142C"/>
    <w:rsid w:val="00762B95"/>
    <w:rsid w:val="00763401"/>
    <w:rsid w:val="00764A2C"/>
    <w:rsid w:val="00764CAE"/>
    <w:rsid w:val="00764F33"/>
    <w:rsid w:val="0076662A"/>
    <w:rsid w:val="007705BE"/>
    <w:rsid w:val="00770B1A"/>
    <w:rsid w:val="007719F6"/>
    <w:rsid w:val="0077285D"/>
    <w:rsid w:val="00773979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6F0A"/>
    <w:rsid w:val="00790140"/>
    <w:rsid w:val="007908FD"/>
    <w:rsid w:val="00791161"/>
    <w:rsid w:val="00791170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79F"/>
    <w:rsid w:val="007C207D"/>
    <w:rsid w:val="007C2522"/>
    <w:rsid w:val="007C3BB2"/>
    <w:rsid w:val="007C3CF4"/>
    <w:rsid w:val="007C5DBA"/>
    <w:rsid w:val="007C65B0"/>
    <w:rsid w:val="007C6799"/>
    <w:rsid w:val="007C700B"/>
    <w:rsid w:val="007D1895"/>
    <w:rsid w:val="007D1937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2D5C"/>
    <w:rsid w:val="007E3533"/>
    <w:rsid w:val="007E4FD3"/>
    <w:rsid w:val="007E650C"/>
    <w:rsid w:val="007E6CB9"/>
    <w:rsid w:val="007E7E52"/>
    <w:rsid w:val="007F0F12"/>
    <w:rsid w:val="007F2EC2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12EB4"/>
    <w:rsid w:val="00813A13"/>
    <w:rsid w:val="00813B27"/>
    <w:rsid w:val="00814C42"/>
    <w:rsid w:val="00815A23"/>
    <w:rsid w:val="00815BA3"/>
    <w:rsid w:val="00816624"/>
    <w:rsid w:val="00817FC8"/>
    <w:rsid w:val="008204AB"/>
    <w:rsid w:val="00821C4B"/>
    <w:rsid w:val="00823C5F"/>
    <w:rsid w:val="00825145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DCE"/>
    <w:rsid w:val="008411A1"/>
    <w:rsid w:val="00842BCA"/>
    <w:rsid w:val="00843AC1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5D1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6AC0"/>
    <w:rsid w:val="008D6CA1"/>
    <w:rsid w:val="008D6F61"/>
    <w:rsid w:val="008D71AE"/>
    <w:rsid w:val="008E293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3651"/>
    <w:rsid w:val="0091498A"/>
    <w:rsid w:val="00914D69"/>
    <w:rsid w:val="0091544B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2074"/>
    <w:rsid w:val="009A44F8"/>
    <w:rsid w:val="009A538D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76"/>
    <w:rsid w:val="009C0D2E"/>
    <w:rsid w:val="009C116C"/>
    <w:rsid w:val="009C15BF"/>
    <w:rsid w:val="009C21C2"/>
    <w:rsid w:val="009C23EE"/>
    <w:rsid w:val="009C32EE"/>
    <w:rsid w:val="009C371B"/>
    <w:rsid w:val="009C4135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AD3"/>
    <w:rsid w:val="009D7BBC"/>
    <w:rsid w:val="009E0214"/>
    <w:rsid w:val="009E0B5C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10BEC"/>
    <w:rsid w:val="00A10CAE"/>
    <w:rsid w:val="00A13E0F"/>
    <w:rsid w:val="00A14041"/>
    <w:rsid w:val="00A150F0"/>
    <w:rsid w:val="00A15995"/>
    <w:rsid w:val="00A16AC9"/>
    <w:rsid w:val="00A16CB6"/>
    <w:rsid w:val="00A16F58"/>
    <w:rsid w:val="00A201EC"/>
    <w:rsid w:val="00A2072A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71A9"/>
    <w:rsid w:val="00A71FE4"/>
    <w:rsid w:val="00A731B4"/>
    <w:rsid w:val="00A73915"/>
    <w:rsid w:val="00A744B9"/>
    <w:rsid w:val="00A74FA1"/>
    <w:rsid w:val="00A759E5"/>
    <w:rsid w:val="00A75C3D"/>
    <w:rsid w:val="00A7643C"/>
    <w:rsid w:val="00A771AB"/>
    <w:rsid w:val="00A818C3"/>
    <w:rsid w:val="00A82125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36F8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82"/>
    <w:rsid w:val="00AD52CB"/>
    <w:rsid w:val="00AD6328"/>
    <w:rsid w:val="00AD6615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5FAD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D85"/>
    <w:rsid w:val="00B74E88"/>
    <w:rsid w:val="00B76C1B"/>
    <w:rsid w:val="00B7708C"/>
    <w:rsid w:val="00B810D8"/>
    <w:rsid w:val="00B814B5"/>
    <w:rsid w:val="00B818CC"/>
    <w:rsid w:val="00B82C4B"/>
    <w:rsid w:val="00B858C9"/>
    <w:rsid w:val="00B8628F"/>
    <w:rsid w:val="00B86852"/>
    <w:rsid w:val="00B870F7"/>
    <w:rsid w:val="00B87930"/>
    <w:rsid w:val="00B87FBF"/>
    <w:rsid w:val="00B90259"/>
    <w:rsid w:val="00B90B57"/>
    <w:rsid w:val="00B91118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78BB"/>
    <w:rsid w:val="00BC061F"/>
    <w:rsid w:val="00BC13B9"/>
    <w:rsid w:val="00BC20CE"/>
    <w:rsid w:val="00BC21D1"/>
    <w:rsid w:val="00BC21DA"/>
    <w:rsid w:val="00BC2759"/>
    <w:rsid w:val="00BC40DA"/>
    <w:rsid w:val="00BC4B25"/>
    <w:rsid w:val="00BC4B37"/>
    <w:rsid w:val="00BC5BF1"/>
    <w:rsid w:val="00BC6C3D"/>
    <w:rsid w:val="00BD04FD"/>
    <w:rsid w:val="00BD1643"/>
    <w:rsid w:val="00BD24CB"/>
    <w:rsid w:val="00BD4014"/>
    <w:rsid w:val="00BD4A77"/>
    <w:rsid w:val="00BD4F92"/>
    <w:rsid w:val="00BD5952"/>
    <w:rsid w:val="00BD6172"/>
    <w:rsid w:val="00BD653F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667"/>
    <w:rsid w:val="00C057B0"/>
    <w:rsid w:val="00C07155"/>
    <w:rsid w:val="00C0790C"/>
    <w:rsid w:val="00C07DAB"/>
    <w:rsid w:val="00C10431"/>
    <w:rsid w:val="00C1051A"/>
    <w:rsid w:val="00C10EF8"/>
    <w:rsid w:val="00C12182"/>
    <w:rsid w:val="00C12286"/>
    <w:rsid w:val="00C12810"/>
    <w:rsid w:val="00C13438"/>
    <w:rsid w:val="00C13C43"/>
    <w:rsid w:val="00C13E4B"/>
    <w:rsid w:val="00C14E4C"/>
    <w:rsid w:val="00C161B0"/>
    <w:rsid w:val="00C205AA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AEB"/>
    <w:rsid w:val="00C366DC"/>
    <w:rsid w:val="00C37156"/>
    <w:rsid w:val="00C37823"/>
    <w:rsid w:val="00C37C12"/>
    <w:rsid w:val="00C407E0"/>
    <w:rsid w:val="00C43D5D"/>
    <w:rsid w:val="00C45C96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57DC"/>
    <w:rsid w:val="00C55DAD"/>
    <w:rsid w:val="00C56015"/>
    <w:rsid w:val="00C5631D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820C3"/>
    <w:rsid w:val="00C83F53"/>
    <w:rsid w:val="00C8486D"/>
    <w:rsid w:val="00C85825"/>
    <w:rsid w:val="00C85860"/>
    <w:rsid w:val="00C86C21"/>
    <w:rsid w:val="00C8798E"/>
    <w:rsid w:val="00C900C6"/>
    <w:rsid w:val="00C905B7"/>
    <w:rsid w:val="00C910B7"/>
    <w:rsid w:val="00C917E5"/>
    <w:rsid w:val="00C91EE5"/>
    <w:rsid w:val="00C9405C"/>
    <w:rsid w:val="00C95C2E"/>
    <w:rsid w:val="00C95EED"/>
    <w:rsid w:val="00C9704D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16E4"/>
    <w:rsid w:val="00CB1B0E"/>
    <w:rsid w:val="00CB1FA6"/>
    <w:rsid w:val="00CB24A7"/>
    <w:rsid w:val="00CB24E0"/>
    <w:rsid w:val="00CB2945"/>
    <w:rsid w:val="00CB52D0"/>
    <w:rsid w:val="00CB6443"/>
    <w:rsid w:val="00CB72AF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776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0BAE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5395"/>
    <w:rsid w:val="00D36E75"/>
    <w:rsid w:val="00D37A89"/>
    <w:rsid w:val="00D40A17"/>
    <w:rsid w:val="00D52260"/>
    <w:rsid w:val="00D52AF4"/>
    <w:rsid w:val="00D52EF7"/>
    <w:rsid w:val="00D537C2"/>
    <w:rsid w:val="00D5672D"/>
    <w:rsid w:val="00D606E1"/>
    <w:rsid w:val="00D6087E"/>
    <w:rsid w:val="00D60ECD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D6"/>
    <w:rsid w:val="00D80A45"/>
    <w:rsid w:val="00D81640"/>
    <w:rsid w:val="00D82586"/>
    <w:rsid w:val="00D83520"/>
    <w:rsid w:val="00D838A6"/>
    <w:rsid w:val="00D8434D"/>
    <w:rsid w:val="00D860EF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204E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C0DD2"/>
    <w:rsid w:val="00DC10DE"/>
    <w:rsid w:val="00DC1CC5"/>
    <w:rsid w:val="00DC1F9E"/>
    <w:rsid w:val="00DC25D9"/>
    <w:rsid w:val="00DC36D4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184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0893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30A0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D6"/>
    <w:rsid w:val="00EE790E"/>
    <w:rsid w:val="00EE7F8C"/>
    <w:rsid w:val="00EF2917"/>
    <w:rsid w:val="00EF2E54"/>
    <w:rsid w:val="00EF3345"/>
    <w:rsid w:val="00EF50E0"/>
    <w:rsid w:val="00EF5362"/>
    <w:rsid w:val="00EF65EE"/>
    <w:rsid w:val="00EF68B5"/>
    <w:rsid w:val="00EF7FD4"/>
    <w:rsid w:val="00F00FDA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1B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41DA"/>
    <w:rsid w:val="00F64E39"/>
    <w:rsid w:val="00F67A2E"/>
    <w:rsid w:val="00F67B29"/>
    <w:rsid w:val="00F70A8E"/>
    <w:rsid w:val="00F71B70"/>
    <w:rsid w:val="00F7346B"/>
    <w:rsid w:val="00F7462E"/>
    <w:rsid w:val="00F74A37"/>
    <w:rsid w:val="00F74CAE"/>
    <w:rsid w:val="00F7635D"/>
    <w:rsid w:val="00F76FF6"/>
    <w:rsid w:val="00F81607"/>
    <w:rsid w:val="00F8163B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2772"/>
    <w:rsid w:val="00FB3359"/>
    <w:rsid w:val="00FB3D2C"/>
    <w:rsid w:val="00FB4425"/>
    <w:rsid w:val="00FB5332"/>
    <w:rsid w:val="00FB693B"/>
    <w:rsid w:val="00FB7C8B"/>
    <w:rsid w:val="00FC009F"/>
    <w:rsid w:val="00FC00A5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C22BF0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anque-france.fr/en/statistics/rates/exchange-rates/main-daily-euro-foreign-exchange-rates-reference-rates-provided-ec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449E801923C498792308FD42D36FA" ma:contentTypeVersion="4" ma:contentTypeDescription="Crée un document." ma:contentTypeScope="" ma:versionID="d558b1810fb3cbe54f7a36d7a6211863">
  <xsd:schema xmlns:xsd="http://www.w3.org/2001/XMLSchema" xmlns:xs="http://www.w3.org/2001/XMLSchema" xmlns:p="http://schemas.microsoft.com/office/2006/metadata/properties" xmlns:ns2="023f738e-352d-4123-88fc-8801d06331fc" xmlns:ns3="c49c53b7-e85d-4f10-9b16-36e64e2b061d" targetNamespace="http://schemas.microsoft.com/office/2006/metadata/properties" ma:root="true" ma:fieldsID="cb18143811ac4f356a8d18af1843db6f" ns2:_="" ns3:_="">
    <xsd:import namespace="023f738e-352d-4123-88fc-8801d06331fc"/>
    <xsd:import namespace="c49c53b7-e85d-4f10-9b16-36e64e2b0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38e-352d-4123-88fc-8801d0633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53b7-e85d-4f10-9b16-36e64e2b0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71E8E6-4442-4828-BE99-E4D5FAB4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38e-352d-4123-88fc-8801d06331fc"/>
    <ds:schemaRef ds:uri="c49c53b7-e85d-4f10-9b16-36e64e2b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2</Pages>
  <Words>233</Words>
  <Characters>1452</Characters>
  <Application>Microsoft Office Word</Application>
  <DocSecurity>0</DocSecurity>
  <PresentationFormat>Microsoft Word 11.0</PresentationFormat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Business Case</vt:lpstr>
      <vt:lpstr>Business Case</vt:lpstr>
    </vt:vector>
  </TitlesOfParts>
  <Manager>&lt;Project Manager (PM)&gt;</Manager>
  <Company>European Commission</Company>
  <LinksUpToDate>false</LinksUpToDate>
  <CharactersWithSpaces>1682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Andrea Rivera Valdez</cp:lastModifiedBy>
  <cp:revision>5</cp:revision>
  <cp:lastPrinted>2020-12-29T17:27:00Z</cp:lastPrinted>
  <dcterms:created xsi:type="dcterms:W3CDTF">2021-12-09T10:31:00Z</dcterms:created>
  <dcterms:modified xsi:type="dcterms:W3CDTF">2022-01-11T18:07:00Z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0x010100200449E801923C498792308FD42D36FA</vt:lpwstr>
  </property>
</Properties>
</file>